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numPr>
          <w:ilvl w:val="0"/>
          <w:numId w:val="0"/>
        </w:numPr>
        <w:spacing w:line="432" w:lineRule="auto"/>
        <w:jc w:val="center"/>
        <w:rPr>
          <w:rStyle w:val="10"/>
          <w:rFonts w:hint="eastAsia" w:ascii="宋体" w:hAnsi="宋体" w:eastAsia="宋体" w:cs="宋体"/>
          <w:b/>
          <w:bCs w:val="0"/>
          <w:i w:val="0"/>
          <w:iCs w:val="0"/>
          <w:color w:val="333333"/>
          <w:sz w:val="44"/>
          <w:szCs w:val="44"/>
          <w:lang w:eastAsia="zh-CN"/>
        </w:rPr>
      </w:pPr>
      <w:r>
        <w:rPr>
          <w:rStyle w:val="10"/>
          <w:rFonts w:hint="eastAsia" w:ascii="宋体" w:hAnsi="宋体" w:eastAsia="宋体" w:cs="宋体"/>
          <w:b/>
          <w:bCs w:val="0"/>
          <w:i w:val="0"/>
          <w:iCs w:val="0"/>
          <w:color w:val="333333"/>
          <w:sz w:val="44"/>
          <w:szCs w:val="44"/>
          <w:lang w:eastAsia="zh-CN"/>
        </w:rPr>
        <w:t>铁西区大潘街道办事处2021年政府信息公开工作年度报告</w:t>
      </w:r>
    </w:p>
    <w:p>
      <w:pPr>
        <w:widowControl/>
        <w:numPr>
          <w:ilvl w:val="0"/>
          <w:numId w:val="0"/>
        </w:numPr>
        <w:spacing w:line="432" w:lineRule="auto"/>
        <w:ind w:firstLine="883" w:firstLineChars="200"/>
        <w:jc w:val="center"/>
        <w:rPr>
          <w:rStyle w:val="10"/>
          <w:rFonts w:hint="eastAsia" w:ascii="宋体" w:hAnsi="宋体" w:eastAsia="宋体" w:cs="宋体"/>
          <w:b/>
          <w:bCs w:val="0"/>
          <w:i w:val="0"/>
          <w:iCs w:val="0"/>
          <w:color w:val="333333"/>
          <w:sz w:val="44"/>
          <w:szCs w:val="44"/>
          <w:lang w:eastAsia="zh-CN"/>
        </w:rPr>
      </w:pPr>
    </w:p>
    <w:p>
      <w:pPr>
        <w:widowControl/>
        <w:spacing w:line="432" w:lineRule="auto"/>
        <w:rPr>
          <w:rFonts w:hint="eastAsia" w:ascii="黑体" w:hAnsi="黑体" w:eastAsia="黑体" w:cs="黑体"/>
          <w:b/>
          <w:bCs/>
          <w:color w:val="333333"/>
          <w:kern w:val="0"/>
          <w:sz w:val="32"/>
          <w:szCs w:val="32"/>
          <w:lang w:eastAsia="zh-CN"/>
        </w:rPr>
      </w:pPr>
      <w:r>
        <w:rPr>
          <w:rFonts w:hint="eastAsia" w:ascii="黑体" w:hAnsi="黑体" w:eastAsia="黑体" w:cs="黑体"/>
          <w:b/>
          <w:bCs/>
          <w:color w:val="333333"/>
          <w:kern w:val="0"/>
          <w:sz w:val="32"/>
          <w:szCs w:val="32"/>
          <w:lang w:eastAsia="zh-CN"/>
        </w:rPr>
        <w:t>一、总体情况</w:t>
      </w:r>
      <w:bookmarkStart w:id="0" w:name="_GoBack"/>
      <w:bookmarkEnd w:id="0"/>
    </w:p>
    <w:p>
      <w:pPr>
        <w:widowControl/>
        <w:numPr>
          <w:ilvl w:val="0"/>
          <w:numId w:val="0"/>
        </w:numPr>
        <w:spacing w:line="432" w:lineRule="auto"/>
        <w:ind w:firstLine="640" w:firstLineChars="200"/>
        <w:rPr>
          <w:rFonts w:hint="eastAsia" w:ascii="仿宋_GB2312" w:hAnsi="仿宋_GB2312" w:eastAsia="仿宋_GB2312" w:cs="仿宋_GB2312"/>
          <w:b w:val="0"/>
          <w:bCs w:val="0"/>
          <w:color w:val="333333"/>
          <w:kern w:val="0"/>
          <w:sz w:val="32"/>
          <w:szCs w:val="32"/>
          <w:lang w:eastAsia="zh-CN"/>
        </w:rPr>
      </w:pPr>
      <w:r>
        <w:rPr>
          <w:rFonts w:hint="eastAsia" w:ascii="仿宋_GB2312" w:hAnsi="仿宋_GB2312" w:eastAsia="仿宋_GB2312" w:cs="仿宋_GB2312"/>
          <w:b w:val="0"/>
          <w:bCs w:val="0"/>
          <w:color w:val="333333"/>
          <w:kern w:val="0"/>
          <w:sz w:val="32"/>
          <w:szCs w:val="32"/>
          <w:lang w:val="en-US" w:eastAsia="zh-CN"/>
        </w:rPr>
        <w:t>2021年大潘街道办事处</w:t>
      </w:r>
      <w:r>
        <w:rPr>
          <w:rFonts w:hint="eastAsia" w:ascii="仿宋_GB2312" w:hAnsi="仿宋_GB2312" w:eastAsia="仿宋_GB2312" w:cs="仿宋_GB2312"/>
          <w:b w:val="0"/>
          <w:bCs w:val="0"/>
          <w:color w:val="333333"/>
          <w:kern w:val="0"/>
          <w:sz w:val="32"/>
          <w:szCs w:val="32"/>
          <w:lang w:eastAsia="zh-CN"/>
        </w:rPr>
        <w:t>按照《中华人民共和国政府信息公开条例》等相关文件要求，</w:t>
      </w:r>
      <w:r>
        <w:rPr>
          <w:rFonts w:hint="eastAsia" w:ascii="仿宋_GB2312" w:hAnsi="仿宋_GB2312" w:eastAsia="仿宋_GB2312" w:cs="仿宋_GB2312"/>
          <w:b w:val="0"/>
          <w:bCs w:val="0"/>
          <w:color w:val="333333"/>
          <w:kern w:val="0"/>
          <w:sz w:val="32"/>
          <w:szCs w:val="32"/>
          <w:lang w:val="en-US" w:eastAsia="zh-CN"/>
        </w:rPr>
        <w:t>街道领导高度重视政务公开工作，</w:t>
      </w:r>
      <w:r>
        <w:rPr>
          <w:rFonts w:hint="eastAsia" w:ascii="仿宋_GB2312" w:hAnsi="仿宋_GB2312" w:eastAsia="仿宋_GB2312" w:cs="仿宋_GB2312"/>
          <w:b w:val="0"/>
          <w:bCs w:val="0"/>
          <w:color w:val="333333"/>
          <w:kern w:val="0"/>
          <w:sz w:val="32"/>
          <w:szCs w:val="32"/>
          <w:lang w:eastAsia="zh-CN"/>
        </w:rPr>
        <w:t>认真落实铁西区政务公开办公室的各项任务要求，坚持准确、公开、及时更新政务信息，及时回应关切、解疑释惑，科学宣传疫情防护知识，有效放大正面声音，不断推进我街道政务公开工作制度化、透明化、规范化。现将我街道2021年政务公开工作总结情况汇报如下：</w:t>
      </w:r>
    </w:p>
    <w:p>
      <w:pPr>
        <w:widowControl/>
        <w:numPr>
          <w:ilvl w:val="0"/>
          <w:numId w:val="0"/>
        </w:numPr>
        <w:spacing w:line="432" w:lineRule="auto"/>
        <w:rPr>
          <w:rFonts w:hint="eastAsia" w:ascii="楷体_GB2312" w:hAnsi="楷体_GB2312" w:eastAsia="楷体_GB2312" w:cs="楷体_GB2312"/>
          <w:b/>
          <w:bCs/>
          <w:color w:val="333333"/>
          <w:kern w:val="0"/>
          <w:sz w:val="32"/>
          <w:szCs w:val="32"/>
          <w:lang w:eastAsia="zh-CN"/>
        </w:rPr>
      </w:pPr>
      <w:r>
        <w:rPr>
          <w:rFonts w:hint="eastAsia" w:ascii="楷体_GB2312" w:hAnsi="楷体_GB2312" w:eastAsia="楷体_GB2312" w:cs="楷体_GB2312"/>
          <w:b/>
          <w:bCs/>
          <w:color w:val="333333"/>
          <w:kern w:val="0"/>
          <w:sz w:val="32"/>
          <w:szCs w:val="32"/>
          <w:lang w:eastAsia="zh-CN"/>
        </w:rPr>
        <w:t>（一）主动公开</w:t>
      </w:r>
    </w:p>
    <w:p>
      <w:pPr>
        <w:widowControl/>
        <w:numPr>
          <w:ilvl w:val="0"/>
          <w:numId w:val="0"/>
        </w:numPr>
        <w:spacing w:line="432" w:lineRule="auto"/>
        <w:ind w:firstLine="640" w:firstLineChars="200"/>
        <w:rPr>
          <w:rFonts w:hint="default" w:ascii="仿宋_GB2312" w:hAnsi="仿宋_GB2312" w:eastAsia="仿宋_GB2312" w:cs="仿宋_GB2312"/>
          <w:b w:val="0"/>
          <w:bCs w:val="0"/>
          <w:color w:val="333333"/>
          <w:kern w:val="0"/>
          <w:sz w:val="32"/>
          <w:szCs w:val="32"/>
          <w:lang w:val="en-US" w:eastAsia="zh-CN"/>
        </w:rPr>
      </w:pPr>
      <w:r>
        <w:rPr>
          <w:rFonts w:hint="eastAsia" w:ascii="仿宋_GB2312" w:hAnsi="仿宋_GB2312" w:eastAsia="仿宋_GB2312" w:cs="仿宋_GB2312"/>
          <w:b w:val="0"/>
          <w:bCs w:val="0"/>
          <w:color w:val="333333"/>
          <w:kern w:val="0"/>
          <w:sz w:val="32"/>
          <w:szCs w:val="32"/>
          <w:lang w:val="en-US" w:eastAsia="zh-CN"/>
        </w:rPr>
        <w:t>2021年我街道按照《中华人民共和国政府信息公开条例》明确政务信息公开范围，对公开事项进行全面梳理，重点围绕疫情防控、社会救助、养老服务、公共文化服务、城市管理、公共法律服务、保障性住房、安全生产等领域进行政务信息公开，2021年大潘街道办事处主动公开政务信息86条。</w:t>
      </w:r>
    </w:p>
    <w:p>
      <w:pPr>
        <w:widowControl/>
        <w:numPr>
          <w:ilvl w:val="0"/>
          <w:numId w:val="0"/>
        </w:numPr>
        <w:spacing w:line="432" w:lineRule="auto"/>
        <w:rPr>
          <w:rFonts w:hint="eastAsia" w:ascii="楷体_GB2312" w:hAnsi="楷体_GB2312" w:eastAsia="楷体_GB2312" w:cs="楷体_GB2312"/>
          <w:b/>
          <w:bCs/>
          <w:color w:val="333333"/>
          <w:kern w:val="0"/>
          <w:sz w:val="32"/>
          <w:szCs w:val="32"/>
          <w:lang w:val="en-US" w:eastAsia="zh-CN"/>
        </w:rPr>
      </w:pPr>
      <w:r>
        <w:rPr>
          <w:rFonts w:hint="eastAsia" w:ascii="楷体_GB2312" w:hAnsi="楷体_GB2312" w:eastAsia="楷体_GB2312" w:cs="楷体_GB2312"/>
          <w:b/>
          <w:bCs/>
          <w:color w:val="333333"/>
          <w:kern w:val="0"/>
          <w:sz w:val="32"/>
          <w:szCs w:val="32"/>
          <w:lang w:val="en-US" w:eastAsia="zh-CN"/>
        </w:rPr>
        <w:t>（二）依申请公开</w:t>
      </w:r>
    </w:p>
    <w:p>
      <w:pPr>
        <w:widowControl/>
        <w:numPr>
          <w:ilvl w:val="0"/>
          <w:numId w:val="0"/>
        </w:numPr>
        <w:spacing w:line="432" w:lineRule="auto"/>
        <w:ind w:firstLine="640" w:firstLineChars="200"/>
        <w:rPr>
          <w:rFonts w:hint="eastAsia" w:ascii="仿宋_GB2312" w:hAnsi="仿宋_GB2312" w:eastAsia="仿宋_GB2312" w:cs="仿宋_GB2312"/>
          <w:b w:val="0"/>
          <w:bCs w:val="0"/>
          <w:color w:val="333333"/>
          <w:kern w:val="0"/>
          <w:sz w:val="32"/>
          <w:szCs w:val="32"/>
          <w:lang w:val="en-US" w:eastAsia="zh-CN"/>
        </w:rPr>
      </w:pPr>
      <w:r>
        <w:rPr>
          <w:rFonts w:hint="eastAsia" w:ascii="仿宋_GB2312" w:hAnsi="仿宋_GB2312" w:eastAsia="仿宋_GB2312" w:cs="仿宋_GB2312"/>
          <w:b w:val="0"/>
          <w:bCs w:val="0"/>
          <w:color w:val="333333"/>
          <w:kern w:val="0"/>
          <w:sz w:val="32"/>
          <w:szCs w:val="32"/>
          <w:lang w:val="en-US" w:eastAsia="zh-CN"/>
        </w:rPr>
        <w:t>2021年大潘街道在不泄露政府机密的前提下，最大限度向申请人提供相关信息，更好满足人民群众知情权，维护公信力。据统计大潘街道2021年共计收到四份依申请公开，目前已公开三件，其中一件因属于四类过程性信息不予公开。</w:t>
      </w:r>
    </w:p>
    <w:p>
      <w:pPr>
        <w:widowControl/>
        <w:numPr>
          <w:ilvl w:val="0"/>
          <w:numId w:val="0"/>
        </w:numPr>
        <w:spacing w:line="432" w:lineRule="auto"/>
        <w:rPr>
          <w:rFonts w:hint="eastAsia" w:ascii="楷体_GB2312" w:hAnsi="楷体_GB2312" w:eastAsia="楷体_GB2312" w:cs="楷体_GB2312"/>
          <w:b/>
          <w:bCs/>
          <w:color w:val="333333"/>
          <w:kern w:val="0"/>
          <w:sz w:val="32"/>
          <w:szCs w:val="32"/>
          <w:lang w:val="en-US" w:eastAsia="zh-CN"/>
        </w:rPr>
      </w:pPr>
      <w:r>
        <w:rPr>
          <w:rFonts w:hint="eastAsia" w:ascii="楷体_GB2312" w:hAnsi="楷体_GB2312" w:eastAsia="楷体_GB2312" w:cs="楷体_GB2312"/>
          <w:b/>
          <w:bCs/>
          <w:color w:val="333333"/>
          <w:kern w:val="0"/>
          <w:sz w:val="32"/>
          <w:szCs w:val="32"/>
          <w:lang w:val="en-US" w:eastAsia="zh-CN"/>
        </w:rPr>
        <w:t>（三）政府信息管理</w:t>
      </w:r>
    </w:p>
    <w:p>
      <w:pPr>
        <w:widowControl/>
        <w:numPr>
          <w:ilvl w:val="0"/>
          <w:numId w:val="0"/>
        </w:numPr>
        <w:spacing w:line="432" w:lineRule="auto"/>
        <w:ind w:firstLine="640" w:firstLineChars="200"/>
        <w:rPr>
          <w:rFonts w:hint="eastAsia" w:ascii="仿宋_GB2312" w:hAnsi="仿宋_GB2312" w:eastAsia="仿宋_GB2312" w:cs="仿宋_GB2312"/>
          <w:b w:val="0"/>
          <w:bCs w:val="0"/>
          <w:color w:val="333333"/>
          <w:kern w:val="0"/>
          <w:sz w:val="32"/>
          <w:szCs w:val="32"/>
          <w:lang w:val="en-US" w:eastAsia="zh-CN"/>
        </w:rPr>
      </w:pPr>
      <w:r>
        <w:rPr>
          <w:rFonts w:hint="eastAsia" w:ascii="仿宋_GB2312" w:hAnsi="仿宋_GB2312" w:eastAsia="仿宋_GB2312" w:cs="仿宋_GB2312"/>
          <w:b w:val="0"/>
          <w:bCs w:val="0"/>
          <w:color w:val="333333"/>
          <w:kern w:val="0"/>
          <w:sz w:val="32"/>
          <w:szCs w:val="32"/>
          <w:lang w:val="en-US" w:eastAsia="zh-CN"/>
        </w:rPr>
        <w:t>为进一步规范开展政务信息公开工作，街道以行政办为政务信息报送负责科室，安排1名工作人员具体负责政务公开工作的组织实施、收集报送等工作，履行本机关政府信息公开工作职责，做到责任落实到岗，工作落实到人。政务信息经工作人员统一撰写校对后由科室负责人进行初审，主管领导进行二次审核方可报送以保证信息正确无误。</w:t>
      </w:r>
    </w:p>
    <w:p>
      <w:pPr>
        <w:widowControl/>
        <w:numPr>
          <w:ilvl w:val="0"/>
          <w:numId w:val="0"/>
        </w:numPr>
        <w:spacing w:line="432" w:lineRule="auto"/>
        <w:rPr>
          <w:rFonts w:hint="eastAsia" w:ascii="楷体_GB2312" w:hAnsi="楷体_GB2312" w:eastAsia="楷体_GB2312" w:cs="楷体_GB2312"/>
          <w:b/>
          <w:bCs/>
          <w:color w:val="333333"/>
          <w:kern w:val="0"/>
          <w:sz w:val="32"/>
          <w:szCs w:val="32"/>
          <w:lang w:val="en-US" w:eastAsia="zh-CN"/>
        </w:rPr>
      </w:pPr>
      <w:r>
        <w:rPr>
          <w:rFonts w:hint="eastAsia" w:ascii="楷体_GB2312" w:hAnsi="楷体_GB2312" w:eastAsia="楷体_GB2312" w:cs="楷体_GB2312"/>
          <w:b/>
          <w:bCs/>
          <w:color w:val="333333"/>
          <w:kern w:val="0"/>
          <w:sz w:val="32"/>
          <w:szCs w:val="32"/>
          <w:lang w:val="en-US" w:eastAsia="zh-CN"/>
        </w:rPr>
        <w:t>（四）政府信息公开平台建设</w:t>
      </w:r>
    </w:p>
    <w:p>
      <w:pPr>
        <w:widowControl/>
        <w:numPr>
          <w:ilvl w:val="0"/>
          <w:numId w:val="0"/>
        </w:numPr>
        <w:spacing w:line="432" w:lineRule="auto"/>
        <w:ind w:firstLine="640" w:firstLineChars="200"/>
        <w:rPr>
          <w:rFonts w:hint="eastAsia" w:ascii="仿宋_GB2312" w:hAnsi="仿宋_GB2312" w:eastAsia="仿宋_GB2312" w:cs="仿宋_GB2312"/>
          <w:b w:val="0"/>
          <w:bCs w:val="0"/>
          <w:color w:val="333333"/>
          <w:kern w:val="0"/>
          <w:sz w:val="32"/>
          <w:szCs w:val="32"/>
          <w:lang w:val="en-US" w:eastAsia="zh-CN"/>
        </w:rPr>
      </w:pPr>
      <w:r>
        <w:rPr>
          <w:rFonts w:hint="eastAsia" w:ascii="仿宋_GB2312" w:hAnsi="仿宋_GB2312" w:eastAsia="仿宋_GB2312" w:cs="仿宋_GB2312"/>
          <w:b w:val="0"/>
          <w:bCs w:val="0"/>
          <w:color w:val="333333"/>
          <w:kern w:val="0"/>
          <w:sz w:val="32"/>
          <w:szCs w:val="32"/>
          <w:lang w:val="en-US" w:eastAsia="zh-CN"/>
        </w:rPr>
        <w:t>在现有政府信息公开途径的基础上，努力拓宽信息公开渠道，通过电子屏、公告栏等多种形式发布更新各类便民和政务信息，做好宣传引导，保障街道政务信息公开工作的有序开展。</w:t>
      </w:r>
    </w:p>
    <w:p>
      <w:pPr>
        <w:widowControl/>
        <w:numPr>
          <w:ilvl w:val="0"/>
          <w:numId w:val="0"/>
        </w:numPr>
        <w:spacing w:line="432" w:lineRule="auto"/>
        <w:rPr>
          <w:rFonts w:hint="default" w:ascii="楷体_GB2312" w:hAnsi="楷体_GB2312" w:eastAsia="楷体_GB2312" w:cs="楷体_GB2312"/>
          <w:b/>
          <w:bCs/>
          <w:color w:val="333333"/>
          <w:kern w:val="0"/>
          <w:sz w:val="32"/>
          <w:szCs w:val="32"/>
          <w:lang w:val="en-US" w:eastAsia="zh-CN"/>
        </w:rPr>
      </w:pPr>
      <w:r>
        <w:rPr>
          <w:rFonts w:hint="eastAsia" w:ascii="楷体_GB2312" w:hAnsi="楷体_GB2312" w:eastAsia="楷体_GB2312" w:cs="楷体_GB2312"/>
          <w:b/>
          <w:bCs/>
          <w:color w:val="333333"/>
          <w:kern w:val="0"/>
          <w:sz w:val="32"/>
          <w:szCs w:val="32"/>
          <w:lang w:val="en-US" w:eastAsia="zh-CN"/>
        </w:rPr>
        <w:t>（五）监督保障</w:t>
      </w:r>
    </w:p>
    <w:p>
      <w:pPr>
        <w:widowControl/>
        <w:numPr>
          <w:ilvl w:val="0"/>
          <w:numId w:val="0"/>
        </w:numPr>
        <w:spacing w:line="432" w:lineRule="auto"/>
        <w:ind w:firstLine="640" w:firstLineChars="200"/>
        <w:rPr>
          <w:rFonts w:hint="eastAsia" w:ascii="仿宋_GB2312" w:hAnsi="仿宋_GB2312" w:eastAsia="仿宋_GB2312" w:cs="仿宋_GB2312"/>
          <w:b w:val="0"/>
          <w:bCs w:val="0"/>
          <w:color w:val="333333"/>
          <w:kern w:val="0"/>
          <w:sz w:val="32"/>
          <w:szCs w:val="32"/>
          <w:lang w:val="en-US" w:eastAsia="zh-CN"/>
        </w:rPr>
      </w:pPr>
      <w:r>
        <w:rPr>
          <w:rFonts w:hint="eastAsia" w:ascii="仿宋_GB2312" w:hAnsi="仿宋_GB2312" w:eastAsia="仿宋_GB2312" w:cs="仿宋_GB2312"/>
          <w:b w:val="0"/>
          <w:bCs w:val="0"/>
          <w:color w:val="333333"/>
          <w:kern w:val="0"/>
          <w:sz w:val="32"/>
          <w:szCs w:val="32"/>
          <w:lang w:val="en-US" w:eastAsia="zh-CN"/>
        </w:rPr>
        <w:t>定期对发布的信息进行自查自检，发现问题及时整改。利用“5.15”政务公开日集中宣传《中华人民共和国政府信息公开条例》，提升全员信息公开的法治意识和业务能力。同时，积极组织各业务科室学习相关法律法规，落实职能范围内的政府信息公开责任。</w:t>
      </w:r>
    </w:p>
    <w:p>
      <w:pPr>
        <w:widowControl/>
        <w:numPr>
          <w:ilvl w:val="0"/>
          <w:numId w:val="0"/>
        </w:numPr>
        <w:spacing w:line="432" w:lineRule="auto"/>
        <w:ind w:firstLine="640" w:firstLineChars="200"/>
        <w:rPr>
          <w:rFonts w:hint="default" w:ascii="仿宋" w:hAnsi="仿宋" w:eastAsia="仿宋" w:cs="仿宋"/>
          <w:b w:val="0"/>
          <w:bCs w:val="0"/>
          <w:color w:val="333333"/>
          <w:kern w:val="0"/>
          <w:sz w:val="32"/>
          <w:szCs w:val="32"/>
          <w:lang w:val="en-US" w:eastAsia="zh-CN"/>
        </w:rPr>
      </w:pPr>
    </w:p>
    <w:tbl>
      <w:tblPr>
        <w:tblStyle w:val="8"/>
        <w:tblpPr w:leftFromText="180" w:rightFromText="180" w:vertAnchor="text" w:horzAnchor="page" w:tblpX="1735" w:tblpY="815"/>
        <w:tblOverlap w:val="never"/>
        <w:tblW w:w="8840" w:type="dxa"/>
        <w:tblInd w:w="0" w:type="dxa"/>
        <w:tblLayout w:type="fixed"/>
        <w:tblCellMar>
          <w:top w:w="0" w:type="dxa"/>
          <w:left w:w="108" w:type="dxa"/>
          <w:bottom w:w="0" w:type="dxa"/>
          <w:right w:w="108" w:type="dxa"/>
        </w:tblCellMar>
      </w:tblPr>
      <w:tblGrid>
        <w:gridCol w:w="2814"/>
        <w:gridCol w:w="2018"/>
        <w:gridCol w:w="1962"/>
        <w:gridCol w:w="2046"/>
      </w:tblGrid>
      <w:tr>
        <w:tblPrEx>
          <w:tblCellMar>
            <w:top w:w="0" w:type="dxa"/>
            <w:left w:w="108" w:type="dxa"/>
            <w:bottom w:w="0" w:type="dxa"/>
            <w:right w:w="108" w:type="dxa"/>
          </w:tblCellMar>
        </w:tblPrEx>
        <w:trPr>
          <w:trHeight w:val="521" w:hRule="atLeast"/>
        </w:trPr>
        <w:tc>
          <w:tcPr>
            <w:tcW w:w="884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000000"/>
                <w:kern w:val="0"/>
                <w:sz w:val="18"/>
                <w:szCs w:val="18"/>
              </w:rPr>
              <w:t>第二十条第（一）项</w:t>
            </w:r>
          </w:p>
        </w:tc>
      </w:tr>
      <w:tr>
        <w:tblPrEx>
          <w:tblCellMar>
            <w:top w:w="0" w:type="dxa"/>
            <w:left w:w="108" w:type="dxa"/>
            <w:bottom w:w="0" w:type="dxa"/>
            <w:right w:w="108" w:type="dxa"/>
          </w:tblCellMar>
        </w:tblPrEx>
        <w:trPr>
          <w:trHeight w:val="90" w:hRule="atLeast"/>
        </w:trPr>
        <w:tc>
          <w:tcPr>
            <w:tcW w:w="2814" w:type="dxa"/>
            <w:tcBorders>
              <w:top w:val="nil"/>
              <w:left w:val="single" w:color="auto" w:sz="4" w:space="0"/>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000000"/>
                <w:kern w:val="0"/>
                <w:sz w:val="18"/>
                <w:szCs w:val="18"/>
              </w:rPr>
              <w:t>信息内容</w:t>
            </w:r>
          </w:p>
        </w:tc>
        <w:tc>
          <w:tcPr>
            <w:tcW w:w="2018"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000000"/>
                <w:kern w:val="0"/>
                <w:sz w:val="18"/>
                <w:szCs w:val="18"/>
              </w:rPr>
              <w:t>本年</w:t>
            </w:r>
            <w:r>
              <w:rPr>
                <w:rFonts w:hint="eastAsia" w:ascii="宋体" w:hAnsi="宋体" w:eastAsia="宋体" w:cs="宋体"/>
                <w:b/>
                <w:bCs/>
                <w:color w:val="333333"/>
                <w:kern w:val="0"/>
                <w:sz w:val="18"/>
                <w:szCs w:val="18"/>
              </w:rPr>
              <w:t>制发件量</w:t>
            </w:r>
          </w:p>
        </w:tc>
        <w:tc>
          <w:tcPr>
            <w:tcW w:w="196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000000"/>
                <w:kern w:val="0"/>
                <w:sz w:val="18"/>
                <w:szCs w:val="18"/>
              </w:rPr>
              <w:t>本年废止件</w:t>
            </w:r>
            <w:r>
              <w:rPr>
                <w:rFonts w:hint="eastAsia" w:ascii="宋体" w:hAnsi="宋体" w:eastAsia="宋体" w:cs="宋体"/>
                <w:b/>
                <w:bCs/>
                <w:color w:val="333333"/>
                <w:kern w:val="0"/>
                <w:sz w:val="18"/>
                <w:szCs w:val="18"/>
              </w:rPr>
              <w:t>数</w:t>
            </w:r>
          </w:p>
        </w:tc>
        <w:tc>
          <w:tcPr>
            <w:tcW w:w="2046" w:type="dxa"/>
            <w:tcBorders>
              <w:top w:val="nil"/>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000000"/>
                <w:kern w:val="0"/>
                <w:sz w:val="18"/>
                <w:szCs w:val="18"/>
              </w:rPr>
              <w:t>现行有效件数</w:t>
            </w:r>
          </w:p>
        </w:tc>
      </w:tr>
      <w:tr>
        <w:tblPrEx>
          <w:tblCellMar>
            <w:top w:w="0" w:type="dxa"/>
            <w:left w:w="108" w:type="dxa"/>
            <w:bottom w:w="0" w:type="dxa"/>
            <w:right w:w="108" w:type="dxa"/>
          </w:tblCellMar>
        </w:tblPrEx>
        <w:trPr>
          <w:trHeight w:val="599" w:hRule="atLeast"/>
        </w:trPr>
        <w:tc>
          <w:tcPr>
            <w:tcW w:w="2814" w:type="dxa"/>
            <w:tcBorders>
              <w:top w:val="nil"/>
              <w:left w:val="single" w:color="auto" w:sz="4" w:space="0"/>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000000"/>
                <w:kern w:val="0"/>
                <w:sz w:val="18"/>
                <w:szCs w:val="18"/>
              </w:rPr>
              <w:t>规章</w:t>
            </w:r>
          </w:p>
        </w:tc>
        <w:tc>
          <w:tcPr>
            <w:tcW w:w="2018"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196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lang w:val="en-US" w:eastAsia="zh-CN"/>
              </w:rPr>
            </w:pPr>
            <w:r>
              <w:rPr>
                <w:rFonts w:hint="eastAsia" w:ascii="宋体" w:hAnsi="宋体" w:eastAsia="宋体" w:cs="宋体"/>
                <w:b/>
                <w:bCs/>
                <w:color w:val="000000"/>
                <w:kern w:val="0"/>
                <w:sz w:val="18"/>
                <w:szCs w:val="18"/>
              </w:rPr>
              <w:t> </w:t>
            </w:r>
            <w:r>
              <w:rPr>
                <w:rFonts w:hint="eastAsia" w:ascii="宋体" w:hAnsi="宋体" w:cs="宋体"/>
                <w:b/>
                <w:bCs/>
                <w:color w:val="000000"/>
                <w:kern w:val="0"/>
                <w:sz w:val="18"/>
                <w:szCs w:val="18"/>
                <w:lang w:val="en-US" w:eastAsia="zh-CN"/>
              </w:rPr>
              <w:t>0</w:t>
            </w:r>
          </w:p>
        </w:tc>
        <w:tc>
          <w:tcPr>
            <w:tcW w:w="2046" w:type="dxa"/>
            <w:tcBorders>
              <w:top w:val="nil"/>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lang w:val="en-US" w:eastAsia="zh-CN"/>
              </w:rPr>
            </w:pPr>
            <w:r>
              <w:rPr>
                <w:rFonts w:hint="eastAsia" w:ascii="宋体" w:hAnsi="宋体" w:eastAsia="宋体" w:cs="宋体"/>
                <w:b/>
                <w:bCs/>
                <w:color w:val="000000"/>
                <w:kern w:val="0"/>
                <w:sz w:val="18"/>
                <w:szCs w:val="18"/>
              </w:rPr>
              <w:t>　</w:t>
            </w:r>
            <w:r>
              <w:rPr>
                <w:rFonts w:hint="eastAsia" w:ascii="宋体" w:hAnsi="宋体" w:cs="宋体"/>
                <w:b/>
                <w:bCs/>
                <w:color w:val="000000"/>
                <w:kern w:val="0"/>
                <w:sz w:val="18"/>
                <w:szCs w:val="18"/>
                <w:lang w:val="en-US" w:eastAsia="zh-CN"/>
              </w:rPr>
              <w:t>0</w:t>
            </w:r>
          </w:p>
        </w:tc>
      </w:tr>
      <w:tr>
        <w:tblPrEx>
          <w:tblCellMar>
            <w:top w:w="0" w:type="dxa"/>
            <w:left w:w="108" w:type="dxa"/>
            <w:bottom w:w="0" w:type="dxa"/>
            <w:right w:w="108" w:type="dxa"/>
          </w:tblCellMar>
        </w:tblPrEx>
        <w:trPr>
          <w:trHeight w:val="836" w:hRule="atLeast"/>
        </w:trPr>
        <w:tc>
          <w:tcPr>
            <w:tcW w:w="2814" w:type="dxa"/>
            <w:tcBorders>
              <w:top w:val="nil"/>
              <w:left w:val="single" w:color="auto" w:sz="4" w:space="0"/>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000000"/>
                <w:kern w:val="0"/>
                <w:sz w:val="18"/>
                <w:szCs w:val="18"/>
              </w:rPr>
              <w:t>规范性文件</w:t>
            </w:r>
          </w:p>
        </w:tc>
        <w:tc>
          <w:tcPr>
            <w:tcW w:w="2018" w:type="dxa"/>
            <w:tcBorders>
              <w:top w:val="nil"/>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1962" w:type="dxa"/>
            <w:tcBorders>
              <w:top w:val="nil"/>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lang w:val="en-US" w:eastAsia="zh-CN"/>
              </w:rPr>
            </w:pPr>
            <w:r>
              <w:rPr>
                <w:rFonts w:hint="eastAsia" w:ascii="宋体" w:hAnsi="宋体" w:eastAsia="宋体" w:cs="宋体"/>
                <w:b/>
                <w:bCs/>
                <w:color w:val="000000"/>
                <w:kern w:val="0"/>
                <w:sz w:val="18"/>
                <w:szCs w:val="18"/>
              </w:rPr>
              <w:t> </w:t>
            </w:r>
            <w:r>
              <w:rPr>
                <w:rFonts w:hint="eastAsia" w:ascii="宋体" w:hAnsi="宋体" w:cs="宋体"/>
                <w:b/>
                <w:bCs/>
                <w:color w:val="000000"/>
                <w:kern w:val="0"/>
                <w:sz w:val="18"/>
                <w:szCs w:val="18"/>
                <w:lang w:val="en-US" w:eastAsia="zh-CN"/>
              </w:rPr>
              <w:t>0</w:t>
            </w:r>
          </w:p>
        </w:tc>
        <w:tc>
          <w:tcPr>
            <w:tcW w:w="2046" w:type="dxa"/>
            <w:tcBorders>
              <w:top w:val="nil"/>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r>
      <w:tr>
        <w:tblPrEx>
          <w:tblCellMar>
            <w:top w:w="0" w:type="dxa"/>
            <w:left w:w="108" w:type="dxa"/>
            <w:bottom w:w="0" w:type="dxa"/>
            <w:right w:w="108" w:type="dxa"/>
          </w:tblCellMar>
        </w:tblPrEx>
        <w:trPr>
          <w:trHeight w:val="617" w:hRule="atLeast"/>
        </w:trPr>
        <w:tc>
          <w:tcPr>
            <w:tcW w:w="884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000000"/>
                <w:kern w:val="0"/>
                <w:sz w:val="18"/>
                <w:szCs w:val="18"/>
              </w:rPr>
              <w:t>第二十条第（五）项</w:t>
            </w:r>
          </w:p>
        </w:tc>
      </w:tr>
      <w:tr>
        <w:tblPrEx>
          <w:tblCellMar>
            <w:top w:w="0" w:type="dxa"/>
            <w:left w:w="108" w:type="dxa"/>
            <w:bottom w:w="0" w:type="dxa"/>
            <w:right w:w="108" w:type="dxa"/>
          </w:tblCellMar>
        </w:tblPrEx>
        <w:trPr>
          <w:trHeight w:val="836" w:hRule="atLeast"/>
        </w:trPr>
        <w:tc>
          <w:tcPr>
            <w:tcW w:w="2814" w:type="dxa"/>
            <w:tcBorders>
              <w:top w:val="nil"/>
              <w:left w:val="single" w:color="auto" w:sz="4" w:space="0"/>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000000"/>
                <w:kern w:val="0"/>
                <w:sz w:val="18"/>
                <w:szCs w:val="18"/>
              </w:rPr>
              <w:t>信息内容</w:t>
            </w:r>
          </w:p>
        </w:tc>
        <w:tc>
          <w:tcPr>
            <w:tcW w:w="6026" w:type="dxa"/>
            <w:gridSpan w:val="3"/>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kern w:val="0"/>
                <w:sz w:val="18"/>
                <w:szCs w:val="18"/>
              </w:rPr>
              <w:t>本年处理决定数量</w:t>
            </w:r>
          </w:p>
        </w:tc>
      </w:tr>
      <w:tr>
        <w:tblPrEx>
          <w:tblCellMar>
            <w:top w:w="0" w:type="dxa"/>
            <w:left w:w="108" w:type="dxa"/>
            <w:bottom w:w="0" w:type="dxa"/>
            <w:right w:w="108" w:type="dxa"/>
          </w:tblCellMar>
        </w:tblPrEx>
        <w:trPr>
          <w:trHeight w:val="836" w:hRule="atLeast"/>
        </w:trPr>
        <w:tc>
          <w:tcPr>
            <w:tcW w:w="2814" w:type="dxa"/>
            <w:tcBorders>
              <w:top w:val="nil"/>
              <w:left w:val="single" w:color="auto" w:sz="4" w:space="0"/>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000000"/>
                <w:kern w:val="0"/>
                <w:sz w:val="18"/>
                <w:szCs w:val="18"/>
              </w:rPr>
              <w:t>行政许可</w:t>
            </w:r>
          </w:p>
        </w:tc>
        <w:tc>
          <w:tcPr>
            <w:tcW w:w="6026" w:type="dxa"/>
            <w:gridSpan w:val="3"/>
            <w:tcBorders>
              <w:top w:val="nil"/>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r>
      <w:tr>
        <w:tblPrEx>
          <w:tblCellMar>
            <w:top w:w="0" w:type="dxa"/>
            <w:left w:w="108" w:type="dxa"/>
            <w:bottom w:w="0" w:type="dxa"/>
            <w:right w:w="108" w:type="dxa"/>
          </w:tblCellMar>
        </w:tblPrEx>
        <w:trPr>
          <w:trHeight w:val="658" w:hRule="atLeast"/>
        </w:trPr>
        <w:tc>
          <w:tcPr>
            <w:tcW w:w="884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000000"/>
                <w:kern w:val="0"/>
                <w:sz w:val="18"/>
                <w:szCs w:val="18"/>
              </w:rPr>
              <w:t>第二十条第（六）项</w:t>
            </w:r>
          </w:p>
        </w:tc>
      </w:tr>
      <w:tr>
        <w:tblPrEx>
          <w:tblCellMar>
            <w:top w:w="0" w:type="dxa"/>
            <w:left w:w="108" w:type="dxa"/>
            <w:bottom w:w="0" w:type="dxa"/>
            <w:right w:w="108" w:type="dxa"/>
          </w:tblCellMar>
        </w:tblPrEx>
        <w:trPr>
          <w:trHeight w:val="836" w:hRule="atLeast"/>
        </w:trPr>
        <w:tc>
          <w:tcPr>
            <w:tcW w:w="2814" w:type="dxa"/>
            <w:tcBorders>
              <w:top w:val="nil"/>
              <w:left w:val="single" w:color="auto" w:sz="4" w:space="0"/>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000000"/>
                <w:kern w:val="0"/>
                <w:sz w:val="18"/>
                <w:szCs w:val="18"/>
              </w:rPr>
              <w:t>信息内容</w:t>
            </w:r>
          </w:p>
        </w:tc>
        <w:tc>
          <w:tcPr>
            <w:tcW w:w="6026" w:type="dxa"/>
            <w:gridSpan w:val="3"/>
            <w:tcBorders>
              <w:top w:val="single" w:color="auto" w:sz="4" w:space="0"/>
              <w:left w:val="nil"/>
              <w:bottom w:val="single" w:color="auto" w:sz="4" w:space="0"/>
              <w:right w:val="single" w:color="auto" w:sz="4" w:space="0"/>
            </w:tcBorders>
            <w:vAlign w:val="center"/>
          </w:tcPr>
          <w:p>
            <w:pPr>
              <w:widowControl/>
              <w:tabs>
                <w:tab w:val="center" w:pos="2965"/>
                <w:tab w:val="left" w:pos="4092"/>
              </w:tabs>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kern w:val="0"/>
                <w:sz w:val="18"/>
                <w:szCs w:val="18"/>
              </w:rPr>
              <w:t>本年处理决定数量</w:t>
            </w:r>
          </w:p>
        </w:tc>
      </w:tr>
      <w:tr>
        <w:tblPrEx>
          <w:tblCellMar>
            <w:top w:w="0" w:type="dxa"/>
            <w:left w:w="108" w:type="dxa"/>
            <w:bottom w:w="0" w:type="dxa"/>
            <w:right w:w="108" w:type="dxa"/>
          </w:tblCellMar>
        </w:tblPrEx>
        <w:trPr>
          <w:trHeight w:val="836" w:hRule="atLeast"/>
        </w:trPr>
        <w:tc>
          <w:tcPr>
            <w:tcW w:w="2814" w:type="dxa"/>
            <w:tcBorders>
              <w:top w:val="nil"/>
              <w:left w:val="single" w:color="auto" w:sz="4" w:space="0"/>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000000"/>
                <w:kern w:val="0"/>
                <w:sz w:val="18"/>
                <w:szCs w:val="18"/>
              </w:rPr>
              <w:t>行政处罚</w:t>
            </w:r>
          </w:p>
        </w:tc>
        <w:tc>
          <w:tcPr>
            <w:tcW w:w="6026" w:type="dxa"/>
            <w:gridSpan w:val="3"/>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r>
      <w:tr>
        <w:tblPrEx>
          <w:tblCellMar>
            <w:top w:w="0" w:type="dxa"/>
            <w:left w:w="108" w:type="dxa"/>
            <w:bottom w:w="0" w:type="dxa"/>
            <w:right w:w="108" w:type="dxa"/>
          </w:tblCellMar>
        </w:tblPrEx>
        <w:trPr>
          <w:trHeight w:val="681" w:hRule="atLeast"/>
        </w:trPr>
        <w:tc>
          <w:tcPr>
            <w:tcW w:w="2814" w:type="dxa"/>
            <w:tcBorders>
              <w:top w:val="nil"/>
              <w:left w:val="single" w:color="auto" w:sz="4" w:space="0"/>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000000"/>
                <w:kern w:val="0"/>
                <w:sz w:val="18"/>
                <w:szCs w:val="18"/>
              </w:rPr>
              <w:t>行政强制</w:t>
            </w:r>
          </w:p>
        </w:tc>
        <w:tc>
          <w:tcPr>
            <w:tcW w:w="6026" w:type="dxa"/>
            <w:gridSpan w:val="3"/>
            <w:tcBorders>
              <w:top w:val="nil"/>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r>
      <w:tr>
        <w:tblPrEx>
          <w:tblCellMar>
            <w:top w:w="0" w:type="dxa"/>
            <w:left w:w="108" w:type="dxa"/>
            <w:bottom w:w="0" w:type="dxa"/>
            <w:right w:w="108" w:type="dxa"/>
          </w:tblCellMar>
        </w:tblPrEx>
        <w:trPr>
          <w:trHeight w:val="603" w:hRule="atLeast"/>
        </w:trPr>
        <w:tc>
          <w:tcPr>
            <w:tcW w:w="884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000000"/>
                <w:kern w:val="0"/>
                <w:sz w:val="18"/>
                <w:szCs w:val="18"/>
              </w:rPr>
              <w:t>第二十条第（八）项</w:t>
            </w:r>
          </w:p>
        </w:tc>
      </w:tr>
      <w:tr>
        <w:tblPrEx>
          <w:tblCellMar>
            <w:top w:w="0" w:type="dxa"/>
            <w:left w:w="108" w:type="dxa"/>
            <w:bottom w:w="0" w:type="dxa"/>
            <w:right w:w="108" w:type="dxa"/>
          </w:tblCellMar>
        </w:tblPrEx>
        <w:trPr>
          <w:trHeight w:val="754" w:hRule="atLeast"/>
        </w:trPr>
        <w:tc>
          <w:tcPr>
            <w:tcW w:w="2814" w:type="dxa"/>
            <w:tcBorders>
              <w:top w:val="nil"/>
              <w:left w:val="single" w:color="auto" w:sz="4" w:space="0"/>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000000"/>
                <w:kern w:val="0"/>
                <w:sz w:val="18"/>
                <w:szCs w:val="18"/>
              </w:rPr>
              <w:t>信息内容</w:t>
            </w:r>
          </w:p>
        </w:tc>
        <w:tc>
          <w:tcPr>
            <w:tcW w:w="6026" w:type="dxa"/>
            <w:gridSpan w:val="3"/>
            <w:tcBorders>
              <w:top w:val="nil"/>
              <w:left w:val="nil"/>
              <w:bottom w:val="single" w:color="auto" w:sz="4" w:space="0"/>
              <w:right w:val="single" w:color="000000"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kern w:val="0"/>
                <w:sz w:val="18"/>
                <w:szCs w:val="18"/>
              </w:rPr>
              <w:t>本年收费金额（单位：万元）</w:t>
            </w:r>
          </w:p>
        </w:tc>
      </w:tr>
      <w:tr>
        <w:tblPrEx>
          <w:tblCellMar>
            <w:top w:w="0" w:type="dxa"/>
            <w:left w:w="108" w:type="dxa"/>
            <w:bottom w:w="0" w:type="dxa"/>
            <w:right w:w="108" w:type="dxa"/>
          </w:tblCellMar>
        </w:tblPrEx>
        <w:trPr>
          <w:trHeight w:val="669" w:hRule="atLeast"/>
        </w:trPr>
        <w:tc>
          <w:tcPr>
            <w:tcW w:w="2814" w:type="dxa"/>
            <w:tcBorders>
              <w:top w:val="nil"/>
              <w:left w:val="single" w:color="auto" w:sz="4" w:space="0"/>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000000"/>
                <w:kern w:val="0"/>
                <w:sz w:val="18"/>
                <w:szCs w:val="18"/>
              </w:rPr>
              <w:t>行政事业性收费</w:t>
            </w:r>
          </w:p>
        </w:tc>
        <w:tc>
          <w:tcPr>
            <w:tcW w:w="6026" w:type="dxa"/>
            <w:gridSpan w:val="3"/>
            <w:tcBorders>
              <w:top w:val="nil"/>
              <w:left w:val="nil"/>
              <w:bottom w:val="single" w:color="auto" w:sz="4" w:space="0"/>
              <w:right w:val="single" w:color="000000"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lang w:val="en-US" w:eastAsia="zh-CN"/>
              </w:rPr>
            </w:pPr>
            <w:r>
              <w:rPr>
                <w:rFonts w:hint="eastAsia" w:ascii="宋体" w:hAnsi="宋体" w:eastAsia="宋体" w:cs="宋体"/>
                <w:b/>
                <w:bCs/>
                <w:color w:val="000000"/>
                <w:kern w:val="0"/>
                <w:sz w:val="18"/>
                <w:szCs w:val="18"/>
              </w:rPr>
              <w:t>　</w:t>
            </w:r>
            <w:r>
              <w:rPr>
                <w:rFonts w:hint="eastAsia" w:ascii="宋体" w:hAnsi="宋体" w:cs="宋体"/>
                <w:b/>
                <w:bCs/>
                <w:color w:val="000000"/>
                <w:kern w:val="0"/>
                <w:sz w:val="18"/>
                <w:szCs w:val="18"/>
                <w:lang w:val="en-US" w:eastAsia="zh-CN"/>
              </w:rPr>
              <w:t>0</w:t>
            </w:r>
          </w:p>
        </w:tc>
      </w:tr>
    </w:tbl>
    <w:p>
      <w:pPr>
        <w:widowControl/>
        <w:spacing w:line="432" w:lineRule="auto"/>
        <w:rPr>
          <w:rFonts w:hint="eastAsia" w:ascii="黑体" w:hAnsi="黑体" w:eastAsia="黑体" w:cs="黑体"/>
          <w:b/>
          <w:bCs/>
          <w:color w:val="333333"/>
          <w:kern w:val="0"/>
          <w:sz w:val="32"/>
          <w:szCs w:val="32"/>
          <w:lang w:eastAsia="zh-CN"/>
        </w:rPr>
      </w:pPr>
      <w:r>
        <w:rPr>
          <w:rFonts w:hint="eastAsia" w:ascii="黑体" w:hAnsi="黑体" w:eastAsia="黑体" w:cs="黑体"/>
          <w:b/>
          <w:bCs/>
          <w:color w:val="333333"/>
          <w:kern w:val="0"/>
          <w:sz w:val="32"/>
          <w:szCs w:val="32"/>
          <w:lang w:eastAsia="zh-CN"/>
        </w:rPr>
        <w:t>二、主动公开政府信息情况</w:t>
      </w:r>
    </w:p>
    <w:p>
      <w:pPr>
        <w:widowControl/>
        <w:spacing w:line="432" w:lineRule="auto"/>
        <w:rPr>
          <w:rFonts w:hint="eastAsia" w:ascii="黑体" w:hAnsi="黑体" w:eastAsia="黑体" w:cs="黑体"/>
          <w:b/>
          <w:bCs/>
          <w:color w:val="333333"/>
          <w:kern w:val="0"/>
          <w:sz w:val="32"/>
          <w:szCs w:val="32"/>
          <w:lang w:eastAsia="zh-CN"/>
        </w:rPr>
      </w:pPr>
      <w:r>
        <w:rPr>
          <w:rFonts w:hint="eastAsia" w:ascii="黑体" w:hAnsi="黑体" w:eastAsia="黑体" w:cs="黑体"/>
          <w:b/>
          <w:bCs/>
          <w:color w:val="333333"/>
          <w:kern w:val="0"/>
          <w:sz w:val="32"/>
          <w:szCs w:val="32"/>
          <w:lang w:eastAsia="zh-CN"/>
        </w:rPr>
        <w:t>三、收到和处理政府信息公开申请情况</w:t>
      </w:r>
    </w:p>
    <w:tbl>
      <w:tblPr>
        <w:tblStyle w:val="8"/>
        <w:tblpPr w:leftFromText="180" w:rightFromText="180" w:vertAnchor="text" w:horzAnchor="page" w:tblpX="1590" w:tblpY="778"/>
        <w:tblOverlap w:val="never"/>
        <w:tblW w:w="87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7"/>
        <w:gridCol w:w="10"/>
        <w:gridCol w:w="819"/>
        <w:gridCol w:w="2069"/>
        <w:gridCol w:w="800"/>
        <w:gridCol w:w="741"/>
        <w:gridCol w:w="741"/>
        <w:gridCol w:w="800"/>
        <w:gridCol w:w="959"/>
        <w:gridCol w:w="702"/>
        <w:gridCol w:w="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3375" w:type="dxa"/>
            <w:gridSpan w:val="4"/>
            <w:vMerge w:val="restart"/>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（本列数据的勾稽关系为：第一项加第二项之和，等于第三项加第四项之和）</w:t>
            </w:r>
          </w:p>
        </w:tc>
        <w:tc>
          <w:tcPr>
            <w:tcW w:w="5424" w:type="dxa"/>
            <w:gridSpan w:val="7"/>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3375"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800" w:type="dxa"/>
            <w:vMerge w:val="restart"/>
            <w:tcBorders>
              <w:top w:val="nil"/>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自然人</w:t>
            </w:r>
          </w:p>
        </w:tc>
        <w:tc>
          <w:tcPr>
            <w:tcW w:w="3943" w:type="dxa"/>
            <w:gridSpan w:val="5"/>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法人或其他组织</w:t>
            </w:r>
          </w:p>
        </w:tc>
        <w:tc>
          <w:tcPr>
            <w:tcW w:w="681" w:type="dxa"/>
            <w:vMerge w:val="restart"/>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trPr>
        <w:tc>
          <w:tcPr>
            <w:tcW w:w="3375"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800" w:type="dxa"/>
            <w:vMerge w:val="continue"/>
            <w:tcBorders>
              <w:top w:val="nil"/>
              <w:left w:val="nil"/>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商业企业</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科研机构</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社会公益组织</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法律服务机构</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其他</w:t>
            </w:r>
          </w:p>
        </w:tc>
        <w:tc>
          <w:tcPr>
            <w:tcW w:w="681" w:type="dxa"/>
            <w:vMerge w:val="continue"/>
            <w:tcBorders>
              <w:top w:val="single" w:color="auto" w:sz="4" w:space="0"/>
              <w:left w:val="nil"/>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3375" w:type="dxa"/>
            <w:gridSpan w:val="4"/>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一、本年新收政府信息公开申请数量</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4</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sz w:val="18"/>
                <w:szCs w:val="18"/>
                <w:lang w:val="en-US" w:eastAsia="zh-CN"/>
              </w:rPr>
              <w:t>0</w:t>
            </w:r>
            <w:r>
              <w:rPr>
                <w:rFonts w:hint="eastAsia" w:ascii="宋体" w:hAnsi="宋体" w:eastAsia="宋体" w:cs="宋体"/>
                <w:b/>
                <w:bCs/>
                <w:color w:val="333333"/>
                <w:sz w:val="18"/>
                <w:szCs w:val="18"/>
              </w:rPr>
              <w:t> </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sz w:val="18"/>
                <w:szCs w:val="18"/>
                <w:lang w:val="en-US" w:eastAsia="zh-CN"/>
              </w:rPr>
              <w:t>0</w:t>
            </w:r>
            <w:r>
              <w:rPr>
                <w:rFonts w:hint="eastAsia" w:ascii="宋体" w:hAnsi="宋体" w:eastAsia="宋体" w:cs="宋体"/>
                <w:b/>
                <w:bCs/>
                <w:color w:val="333333"/>
                <w:sz w:val="18"/>
                <w:szCs w:val="18"/>
              </w:rPr>
              <w:t> </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sz w:val="18"/>
                <w:szCs w:val="18"/>
                <w:lang w:val="en-US" w:eastAsia="zh-CN"/>
              </w:rPr>
              <w:t>0</w:t>
            </w:r>
            <w:r>
              <w:rPr>
                <w:rFonts w:hint="eastAsia" w:ascii="宋体" w:hAnsi="宋体" w:eastAsia="宋体" w:cs="宋体"/>
                <w:b/>
                <w:bCs/>
                <w:color w:val="333333"/>
                <w:sz w:val="18"/>
                <w:szCs w:val="18"/>
              </w:rPr>
              <w:t> </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default"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3375" w:type="dxa"/>
            <w:gridSpan w:val="4"/>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二、上年结转政府信息公开申请数量</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sz w:val="18"/>
                <w:szCs w:val="18"/>
                <w:lang w:val="en-US" w:eastAsia="zh-CN"/>
              </w:rPr>
              <w:t>0</w:t>
            </w:r>
            <w:r>
              <w:rPr>
                <w:rFonts w:hint="eastAsia" w:ascii="宋体" w:hAnsi="宋体" w:eastAsia="宋体" w:cs="宋体"/>
                <w:b/>
                <w:bCs/>
                <w:color w:val="333333"/>
                <w:sz w:val="18"/>
                <w:szCs w:val="18"/>
              </w:rPr>
              <w:t> </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sz w:val="18"/>
                <w:szCs w:val="18"/>
                <w:lang w:val="en-US" w:eastAsia="zh-CN"/>
              </w:rPr>
              <w:t>0</w:t>
            </w:r>
            <w:r>
              <w:rPr>
                <w:rFonts w:hint="eastAsia" w:ascii="宋体" w:hAnsi="宋体" w:eastAsia="宋体" w:cs="宋体"/>
                <w:b/>
                <w:bCs/>
                <w:color w:val="333333"/>
                <w:sz w:val="18"/>
                <w:szCs w:val="18"/>
              </w:rPr>
              <w:t> </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sz w:val="18"/>
                <w:szCs w:val="18"/>
                <w:lang w:val="en-US" w:eastAsia="zh-CN"/>
              </w:rPr>
              <w:t>0</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sz w:val="18"/>
                <w:szCs w:val="18"/>
                <w:lang w:val="en-US" w:eastAsia="zh-CN"/>
              </w:rPr>
              <w:t>0</w:t>
            </w:r>
            <w:r>
              <w:rPr>
                <w:rFonts w:hint="eastAsia" w:ascii="宋体" w:hAnsi="宋体" w:eastAsia="宋体" w:cs="宋体"/>
                <w:b/>
                <w:bCs/>
                <w:color w:val="333333"/>
                <w:sz w:val="18"/>
                <w:szCs w:val="18"/>
              </w:rPr>
              <w:t> </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sz w:val="18"/>
                <w:szCs w:val="18"/>
                <w:lang w:val="en-US" w:eastAsia="zh-CN"/>
              </w:rPr>
              <w:t>0</w:t>
            </w:r>
            <w:r>
              <w:rPr>
                <w:rFonts w:hint="eastAsia" w:ascii="宋体" w:hAnsi="宋体" w:eastAsia="宋体" w:cs="宋体"/>
                <w:b/>
                <w:bCs/>
                <w:color w:val="333333"/>
                <w:sz w:val="18"/>
                <w:szCs w:val="18"/>
              </w:rPr>
              <w:t> </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477" w:type="dxa"/>
            <w:vMerge w:val="restart"/>
            <w:tcBorders>
              <w:top w:val="nil"/>
              <w:left w:val="single" w:color="auto" w:sz="4" w:space="0"/>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三、本年度办理结果</w:t>
            </w:r>
          </w:p>
        </w:tc>
        <w:tc>
          <w:tcPr>
            <w:tcW w:w="2898" w:type="dxa"/>
            <w:gridSpan w:val="3"/>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（一）予以公开</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default"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3</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default"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2898" w:type="dxa"/>
            <w:gridSpan w:val="3"/>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（二）部分公开（区分处理的，只计这一情形，不计其他情形）</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829" w:type="dxa"/>
            <w:gridSpan w:val="2"/>
            <w:vMerge w:val="restart"/>
            <w:tcBorders>
              <w:top w:val="nil"/>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（三）不予公开</w:t>
            </w:r>
          </w:p>
        </w:tc>
        <w:tc>
          <w:tcPr>
            <w:tcW w:w="206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1.属于国家秘密</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829" w:type="dxa"/>
            <w:gridSpan w:val="2"/>
            <w:vMerge w:val="continue"/>
            <w:tcBorders>
              <w:top w:val="nil"/>
              <w:left w:val="nil"/>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206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2.其他法律行政法规禁止公开</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829" w:type="dxa"/>
            <w:gridSpan w:val="2"/>
            <w:vMerge w:val="continue"/>
            <w:tcBorders>
              <w:top w:val="nil"/>
              <w:left w:val="nil"/>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206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3.危及“三安全一稳定”</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829" w:type="dxa"/>
            <w:gridSpan w:val="2"/>
            <w:vMerge w:val="continue"/>
            <w:tcBorders>
              <w:top w:val="nil"/>
              <w:left w:val="nil"/>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206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4.保护第三方合法权益</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829" w:type="dxa"/>
            <w:gridSpan w:val="2"/>
            <w:vMerge w:val="continue"/>
            <w:tcBorders>
              <w:top w:val="nil"/>
              <w:left w:val="nil"/>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206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5.属于三类内部事务信息</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829" w:type="dxa"/>
            <w:gridSpan w:val="2"/>
            <w:vMerge w:val="continue"/>
            <w:tcBorders>
              <w:top w:val="nil"/>
              <w:left w:val="nil"/>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206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6.属于四类过程性信息</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default"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1</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default"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829" w:type="dxa"/>
            <w:gridSpan w:val="2"/>
            <w:vMerge w:val="continue"/>
            <w:tcBorders>
              <w:top w:val="nil"/>
              <w:left w:val="nil"/>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206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7.属于行政执法案卷</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829" w:type="dxa"/>
            <w:gridSpan w:val="2"/>
            <w:vMerge w:val="continue"/>
            <w:tcBorders>
              <w:top w:val="nil"/>
              <w:left w:val="nil"/>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206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8.属于行政查询事项</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829" w:type="dxa"/>
            <w:gridSpan w:val="2"/>
            <w:vMerge w:val="restart"/>
            <w:tcBorders>
              <w:top w:val="nil"/>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（四）无法提供</w:t>
            </w:r>
          </w:p>
        </w:tc>
        <w:tc>
          <w:tcPr>
            <w:tcW w:w="206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1.本机关不掌握相关政府信息</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829" w:type="dxa"/>
            <w:gridSpan w:val="2"/>
            <w:vMerge w:val="continue"/>
            <w:tcBorders>
              <w:top w:val="nil"/>
              <w:left w:val="nil"/>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206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2.没有现成信息需要另行制作</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829" w:type="dxa"/>
            <w:gridSpan w:val="2"/>
            <w:vMerge w:val="continue"/>
            <w:tcBorders>
              <w:top w:val="nil"/>
              <w:left w:val="nil"/>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206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3.补正后申请内容仍不明确</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default"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829" w:type="dxa"/>
            <w:gridSpan w:val="2"/>
            <w:vMerge w:val="restart"/>
            <w:tcBorders>
              <w:top w:val="nil"/>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（五）不予处理</w:t>
            </w:r>
          </w:p>
        </w:tc>
        <w:tc>
          <w:tcPr>
            <w:tcW w:w="206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1.信访举报投诉类申请</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829" w:type="dxa"/>
            <w:gridSpan w:val="2"/>
            <w:vMerge w:val="continue"/>
            <w:tcBorders>
              <w:top w:val="nil"/>
              <w:left w:val="nil"/>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206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2.重复申请</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829" w:type="dxa"/>
            <w:gridSpan w:val="2"/>
            <w:vMerge w:val="continue"/>
            <w:tcBorders>
              <w:top w:val="nil"/>
              <w:left w:val="nil"/>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206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3.要求提供公开出版物</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829" w:type="dxa"/>
            <w:gridSpan w:val="2"/>
            <w:vMerge w:val="continue"/>
            <w:tcBorders>
              <w:top w:val="nil"/>
              <w:left w:val="nil"/>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206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4.无正当理由大量反复申请</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1"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829" w:type="dxa"/>
            <w:gridSpan w:val="2"/>
            <w:vMerge w:val="continue"/>
            <w:tcBorders>
              <w:top w:val="nil"/>
              <w:left w:val="nil"/>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206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5.要求行政机关确认或重新出具已获取信息</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829" w:type="dxa"/>
            <w:gridSpan w:val="2"/>
            <w:vMerge w:val="restart"/>
            <w:tcBorders>
              <w:top w:val="single" w:color="auto" w:sz="4" w:space="0"/>
              <w:left w:val="nil"/>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（六）其他处理</w:t>
            </w:r>
          </w:p>
        </w:tc>
        <w:tc>
          <w:tcPr>
            <w:tcW w:w="206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sz w:val="18"/>
                <w:szCs w:val="18"/>
              </w:rPr>
            </w:pPr>
            <w:r>
              <w:rPr>
                <w:rFonts w:hint="eastAsia" w:ascii="宋体" w:hAnsi="宋体" w:eastAsia="宋体" w:cs="宋体"/>
                <w:b/>
                <w:bCs/>
                <w:color w:val="333333"/>
                <w:sz w:val="18"/>
                <w:szCs w:val="18"/>
              </w:rPr>
              <w:t>1.申请人无正当理由逾期不补正、行政机关不再处理</w:t>
            </w:r>
            <w:r>
              <w:rPr>
                <w:rFonts w:hint="eastAsia" w:ascii="宋体" w:hAnsi="宋体" w:cs="宋体"/>
                <w:b/>
                <w:bCs/>
                <w:color w:val="333333"/>
                <w:sz w:val="18"/>
                <w:szCs w:val="18"/>
                <w:lang w:eastAsia="zh-CN"/>
              </w:rPr>
              <w:t>其</w:t>
            </w:r>
            <w:r>
              <w:rPr>
                <w:rFonts w:hint="eastAsia" w:ascii="宋体" w:hAnsi="宋体" w:eastAsia="宋体" w:cs="宋体"/>
                <w:b/>
                <w:bCs/>
                <w:color w:val="333333"/>
                <w:sz w:val="18"/>
                <w:szCs w:val="18"/>
              </w:rPr>
              <w:t>政府信息公开申请</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tabs>
                <w:tab w:val="left" w:pos="426"/>
              </w:tabs>
              <w:spacing w:before="100" w:beforeAutospacing="1" w:after="180" w:line="480" w:lineRule="auto"/>
              <w:jc w:val="left"/>
              <w:rPr>
                <w:rFonts w:hint="default"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eastAsia="zh-CN"/>
              </w:rPr>
              <w:tab/>
            </w:r>
            <w:r>
              <w:rPr>
                <w:rFonts w:hint="eastAsia" w:ascii="宋体" w:hAnsi="宋体" w:cs="宋体"/>
                <w:b/>
                <w:bCs/>
                <w:color w:val="333333"/>
                <w:kern w:val="0"/>
                <w:sz w:val="18"/>
                <w:szCs w:val="18"/>
                <w:lang w:val="en-US" w:eastAsia="zh-CN"/>
              </w:rPr>
              <w:t>0</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829" w:type="dxa"/>
            <w:gridSpan w:val="2"/>
            <w:vMerge w:val="continue"/>
            <w:tcBorders>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p>
        </w:tc>
        <w:tc>
          <w:tcPr>
            <w:tcW w:w="206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sz w:val="18"/>
                <w:szCs w:val="18"/>
                <w:lang w:val="en-US" w:eastAsia="zh-CN"/>
              </w:rPr>
            </w:pPr>
            <w:r>
              <w:rPr>
                <w:rFonts w:hint="eastAsia" w:ascii="宋体" w:hAnsi="宋体" w:eastAsia="宋体" w:cs="宋体"/>
                <w:b/>
                <w:bCs/>
                <w:color w:val="333333"/>
                <w:sz w:val="18"/>
                <w:szCs w:val="18"/>
              </w:rPr>
              <w:t>2.申请人逾期未按收费通知要求缴纳费用、行政机关不再处理其政府信息公开申请</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487"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sz w:val="18"/>
                <w:szCs w:val="18"/>
              </w:rPr>
            </w:pPr>
          </w:p>
        </w:tc>
        <w:tc>
          <w:tcPr>
            <w:tcW w:w="81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sz w:val="18"/>
                <w:szCs w:val="18"/>
              </w:rPr>
            </w:pPr>
          </w:p>
        </w:tc>
        <w:tc>
          <w:tcPr>
            <w:tcW w:w="206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sz w:val="18"/>
                <w:szCs w:val="18"/>
              </w:rPr>
            </w:pPr>
            <w:r>
              <w:rPr>
                <w:rFonts w:hint="eastAsia" w:ascii="宋体" w:hAnsi="宋体" w:eastAsia="宋体" w:cs="宋体"/>
                <w:b/>
                <w:bCs/>
                <w:color w:val="333333"/>
                <w:sz w:val="18"/>
                <w:szCs w:val="18"/>
              </w:rPr>
              <w:t>3.其他</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sz w:val="18"/>
                <w:szCs w:val="18"/>
                <w:lang w:val="en-US" w:eastAsia="zh-CN"/>
              </w:rPr>
            </w:pPr>
            <w:r>
              <w:rPr>
                <w:rFonts w:hint="eastAsia" w:ascii="宋体" w:hAnsi="宋体" w:cs="宋体"/>
                <w:b/>
                <w:bCs/>
                <w:color w:val="333333"/>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sz w:val="18"/>
                <w:szCs w:val="18"/>
                <w:lang w:val="en-US" w:eastAsia="zh-CN"/>
              </w:rPr>
            </w:pPr>
            <w:r>
              <w:rPr>
                <w:rFonts w:hint="eastAsia" w:ascii="宋体" w:hAnsi="宋体" w:cs="宋体"/>
                <w:b/>
                <w:bCs/>
                <w:color w:val="333333"/>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sz w:val="18"/>
                <w:szCs w:val="18"/>
                <w:lang w:val="en-US" w:eastAsia="zh-CN"/>
              </w:rPr>
            </w:pPr>
            <w:r>
              <w:rPr>
                <w:rFonts w:hint="eastAsia" w:ascii="宋体" w:hAnsi="宋体" w:cs="宋体"/>
                <w:b/>
                <w:bCs/>
                <w:color w:val="333333"/>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sz w:val="18"/>
                <w:szCs w:val="18"/>
                <w:lang w:val="en-US" w:eastAsia="zh-CN"/>
              </w:rPr>
            </w:pPr>
            <w:r>
              <w:rPr>
                <w:rFonts w:hint="eastAsia" w:ascii="宋体" w:hAnsi="宋体" w:cs="宋体"/>
                <w:b/>
                <w:bCs/>
                <w:color w:val="333333"/>
                <w:sz w:val="18"/>
                <w:szCs w:val="18"/>
                <w:lang w:val="en-US" w:eastAsia="zh-CN"/>
              </w:rPr>
              <w:t>0</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sz w:val="18"/>
                <w:szCs w:val="18"/>
                <w:lang w:val="en-US" w:eastAsia="zh-CN"/>
              </w:rPr>
            </w:pPr>
            <w:r>
              <w:rPr>
                <w:rFonts w:hint="eastAsia" w:ascii="宋体" w:hAnsi="宋体" w:cs="宋体"/>
                <w:b/>
                <w:bCs/>
                <w:color w:val="333333"/>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sz w:val="18"/>
                <w:szCs w:val="18"/>
                <w:lang w:val="en-US" w:eastAsia="zh-CN"/>
              </w:rPr>
            </w:pPr>
            <w:r>
              <w:rPr>
                <w:rFonts w:hint="eastAsia" w:ascii="宋体" w:hAnsi="宋体" w:cs="宋体"/>
                <w:b/>
                <w:bCs/>
                <w:color w:val="333333"/>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487"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sz w:val="18"/>
                <w:szCs w:val="18"/>
              </w:rPr>
            </w:pPr>
          </w:p>
        </w:tc>
        <w:tc>
          <w:tcPr>
            <w:tcW w:w="2888"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sz w:val="18"/>
                <w:szCs w:val="18"/>
              </w:rPr>
            </w:pPr>
            <w:r>
              <w:rPr>
                <w:rFonts w:hint="eastAsia" w:ascii="宋体" w:hAnsi="宋体" w:eastAsia="宋体" w:cs="宋体"/>
                <w:b/>
                <w:bCs/>
                <w:color w:val="333333"/>
                <w:sz w:val="18"/>
                <w:szCs w:val="18"/>
              </w:rPr>
              <w:t>（七）总计</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default" w:ascii="宋体" w:hAnsi="宋体" w:eastAsia="宋体" w:cs="宋体"/>
                <w:b/>
                <w:bCs/>
                <w:color w:val="333333"/>
                <w:sz w:val="18"/>
                <w:szCs w:val="18"/>
                <w:lang w:val="en-US" w:eastAsia="zh-CN"/>
              </w:rPr>
            </w:pPr>
            <w:r>
              <w:rPr>
                <w:rFonts w:hint="eastAsia" w:ascii="宋体" w:hAnsi="宋体" w:cs="宋体"/>
                <w:b/>
                <w:bCs/>
                <w:color w:val="333333"/>
                <w:sz w:val="18"/>
                <w:szCs w:val="18"/>
                <w:lang w:val="en-US" w:eastAsia="zh-CN"/>
              </w:rPr>
              <w:t>4</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sz w:val="18"/>
                <w:szCs w:val="18"/>
                <w:lang w:val="en-US" w:eastAsia="zh-CN"/>
              </w:rPr>
            </w:pPr>
            <w:r>
              <w:rPr>
                <w:rFonts w:hint="eastAsia" w:ascii="宋体" w:hAnsi="宋体" w:cs="宋体"/>
                <w:b/>
                <w:bCs/>
                <w:color w:val="333333"/>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sz w:val="18"/>
                <w:szCs w:val="18"/>
                <w:lang w:val="en-US" w:eastAsia="zh-CN"/>
              </w:rPr>
            </w:pPr>
            <w:r>
              <w:rPr>
                <w:rFonts w:hint="eastAsia" w:ascii="宋体" w:hAnsi="宋体" w:cs="宋体"/>
                <w:b/>
                <w:bCs/>
                <w:color w:val="333333"/>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sz w:val="18"/>
                <w:szCs w:val="18"/>
                <w:lang w:val="en-US" w:eastAsia="zh-CN"/>
              </w:rPr>
            </w:pPr>
            <w:r>
              <w:rPr>
                <w:rFonts w:hint="eastAsia" w:ascii="宋体" w:hAnsi="宋体" w:cs="宋体"/>
                <w:b/>
                <w:bCs/>
                <w:color w:val="333333"/>
                <w:sz w:val="18"/>
                <w:szCs w:val="18"/>
                <w:lang w:val="en-US" w:eastAsia="zh-CN"/>
              </w:rPr>
              <w:t>0</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sz w:val="18"/>
                <w:szCs w:val="18"/>
                <w:lang w:val="en-US" w:eastAsia="zh-CN"/>
              </w:rPr>
            </w:pPr>
            <w:r>
              <w:rPr>
                <w:rFonts w:hint="eastAsia" w:ascii="宋体" w:hAnsi="宋体" w:cs="宋体"/>
                <w:b/>
                <w:bCs/>
                <w:color w:val="333333"/>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sz w:val="18"/>
                <w:szCs w:val="18"/>
                <w:lang w:val="en-US" w:eastAsia="zh-CN"/>
              </w:rPr>
            </w:pPr>
            <w:r>
              <w:rPr>
                <w:rFonts w:hint="eastAsia" w:ascii="宋体" w:hAnsi="宋体" w:cs="宋体"/>
                <w:b/>
                <w:bCs/>
                <w:color w:val="333333"/>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default"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3375" w:type="dxa"/>
            <w:gridSpan w:val="4"/>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四、结转下年度继续办理</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sz w:val="18"/>
                <w:szCs w:val="18"/>
                <w:lang w:val="en-US" w:eastAsia="zh-CN"/>
              </w:rPr>
              <w:t>0</w:t>
            </w:r>
            <w:r>
              <w:rPr>
                <w:rFonts w:hint="eastAsia" w:ascii="宋体" w:hAnsi="宋体" w:eastAsia="宋体" w:cs="宋体"/>
                <w:b/>
                <w:bCs/>
                <w:color w:val="333333"/>
                <w:sz w:val="18"/>
                <w:szCs w:val="18"/>
              </w:rPr>
              <w:t> </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r>
    </w:tbl>
    <w:p>
      <w:pPr>
        <w:widowControl/>
        <w:spacing w:line="432" w:lineRule="auto"/>
        <w:rPr>
          <w:rFonts w:hint="eastAsia" w:ascii="黑体" w:hAnsi="黑体" w:eastAsia="黑体" w:cs="黑体"/>
          <w:b/>
          <w:bCs/>
          <w:color w:val="333333"/>
          <w:kern w:val="0"/>
          <w:sz w:val="32"/>
          <w:szCs w:val="32"/>
          <w:lang w:eastAsia="zh-CN"/>
        </w:rPr>
      </w:pPr>
      <w:r>
        <w:rPr>
          <w:rFonts w:hint="eastAsia" w:ascii="黑体" w:hAnsi="黑体" w:eastAsia="黑体" w:cs="黑体"/>
          <w:b/>
          <w:bCs/>
          <w:color w:val="333333"/>
          <w:kern w:val="0"/>
          <w:sz w:val="32"/>
          <w:szCs w:val="32"/>
          <w:lang w:eastAsia="zh-CN"/>
        </w:rPr>
        <w:t>四、政府信息公开行政复议、行政诉讼情况</w:t>
      </w:r>
    </w:p>
    <w:tbl>
      <w:tblPr>
        <w:tblStyle w:val="8"/>
        <w:tblpPr w:leftFromText="180" w:rightFromText="180" w:vertAnchor="text" w:horzAnchor="page" w:tblpX="1650" w:tblpY="417"/>
        <w:tblOverlap w:val="never"/>
        <w:tblW w:w="87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3"/>
        <w:gridCol w:w="583"/>
        <w:gridCol w:w="583"/>
        <w:gridCol w:w="583"/>
        <w:gridCol w:w="642"/>
        <w:gridCol w:w="531"/>
        <w:gridCol w:w="584"/>
        <w:gridCol w:w="584"/>
        <w:gridCol w:w="584"/>
        <w:gridCol w:w="591"/>
        <w:gridCol w:w="584"/>
        <w:gridCol w:w="584"/>
        <w:gridCol w:w="584"/>
        <w:gridCol w:w="585"/>
        <w:gridCol w:w="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1" w:hRule="atLeast"/>
        </w:trPr>
        <w:tc>
          <w:tcPr>
            <w:tcW w:w="2974" w:type="dxa"/>
            <w:gridSpan w:val="5"/>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行政复议</w:t>
            </w:r>
          </w:p>
        </w:tc>
        <w:tc>
          <w:tcPr>
            <w:tcW w:w="5805" w:type="dxa"/>
            <w:gridSpan w:val="10"/>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583" w:type="dxa"/>
            <w:vMerge w:val="restart"/>
            <w:tcBorders>
              <w:top w:val="nil"/>
              <w:left w:val="single" w:color="auto" w:sz="4" w:space="0"/>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结果维持</w:t>
            </w:r>
          </w:p>
        </w:tc>
        <w:tc>
          <w:tcPr>
            <w:tcW w:w="583" w:type="dxa"/>
            <w:vMerge w:val="restart"/>
            <w:tcBorders>
              <w:top w:val="nil"/>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结果纠正</w:t>
            </w:r>
          </w:p>
        </w:tc>
        <w:tc>
          <w:tcPr>
            <w:tcW w:w="583" w:type="dxa"/>
            <w:vMerge w:val="restart"/>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其他结果</w:t>
            </w:r>
          </w:p>
        </w:tc>
        <w:tc>
          <w:tcPr>
            <w:tcW w:w="583" w:type="dxa"/>
            <w:vMerge w:val="restart"/>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尚未审结</w:t>
            </w:r>
          </w:p>
        </w:tc>
        <w:tc>
          <w:tcPr>
            <w:tcW w:w="642" w:type="dxa"/>
            <w:vMerge w:val="restart"/>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总计</w:t>
            </w:r>
          </w:p>
        </w:tc>
        <w:tc>
          <w:tcPr>
            <w:tcW w:w="2874" w:type="dxa"/>
            <w:gridSpan w:val="5"/>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未经复议直接起诉</w:t>
            </w:r>
          </w:p>
        </w:tc>
        <w:tc>
          <w:tcPr>
            <w:tcW w:w="2931" w:type="dxa"/>
            <w:gridSpan w:val="5"/>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2" w:hRule="atLeast"/>
        </w:trPr>
        <w:tc>
          <w:tcPr>
            <w:tcW w:w="583"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583" w:type="dxa"/>
            <w:vMerge w:val="continue"/>
            <w:tcBorders>
              <w:top w:val="nil"/>
              <w:left w:val="nil"/>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583" w:type="dxa"/>
            <w:vMerge w:val="continue"/>
            <w:tcBorders>
              <w:top w:val="single" w:color="auto" w:sz="4" w:space="0"/>
              <w:left w:val="nil"/>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583" w:type="dxa"/>
            <w:vMerge w:val="continue"/>
            <w:tcBorders>
              <w:top w:val="single" w:color="auto" w:sz="4" w:space="0"/>
              <w:left w:val="nil"/>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642" w:type="dxa"/>
            <w:vMerge w:val="continue"/>
            <w:tcBorders>
              <w:top w:val="single" w:color="auto" w:sz="4" w:space="0"/>
              <w:left w:val="nil"/>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53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结果维持</w:t>
            </w:r>
          </w:p>
        </w:tc>
        <w:tc>
          <w:tcPr>
            <w:tcW w:w="584"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结果纠正</w:t>
            </w:r>
          </w:p>
        </w:tc>
        <w:tc>
          <w:tcPr>
            <w:tcW w:w="584"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其他结果</w:t>
            </w:r>
          </w:p>
        </w:tc>
        <w:tc>
          <w:tcPr>
            <w:tcW w:w="584"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尚未审结</w:t>
            </w:r>
          </w:p>
        </w:tc>
        <w:tc>
          <w:tcPr>
            <w:tcW w:w="59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000000"/>
                <w:kern w:val="0"/>
                <w:sz w:val="18"/>
                <w:szCs w:val="18"/>
              </w:rPr>
              <w:t>总计</w:t>
            </w:r>
          </w:p>
        </w:tc>
        <w:tc>
          <w:tcPr>
            <w:tcW w:w="584"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结果维持</w:t>
            </w:r>
          </w:p>
        </w:tc>
        <w:tc>
          <w:tcPr>
            <w:tcW w:w="584"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结果纠正</w:t>
            </w:r>
          </w:p>
        </w:tc>
        <w:tc>
          <w:tcPr>
            <w:tcW w:w="584"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000000"/>
                <w:kern w:val="0"/>
                <w:sz w:val="18"/>
                <w:szCs w:val="18"/>
              </w:rPr>
              <w:t>其他结果</w:t>
            </w:r>
          </w:p>
        </w:tc>
        <w:tc>
          <w:tcPr>
            <w:tcW w:w="58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尚未审结</w:t>
            </w:r>
          </w:p>
        </w:tc>
        <w:tc>
          <w:tcPr>
            <w:tcW w:w="594"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000000"/>
                <w:kern w:val="0"/>
                <w:sz w:val="18"/>
                <w:szCs w:val="18"/>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rPr>
        <w:tc>
          <w:tcPr>
            <w:tcW w:w="58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583"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sz w:val="18"/>
                <w:szCs w:val="18"/>
                <w:lang w:val="en-US" w:eastAsia="zh-CN"/>
              </w:rPr>
              <w:t>0</w:t>
            </w:r>
            <w:r>
              <w:rPr>
                <w:rFonts w:hint="eastAsia" w:ascii="宋体" w:hAnsi="宋体" w:eastAsia="宋体" w:cs="宋体"/>
                <w:b/>
                <w:bCs/>
                <w:color w:val="333333"/>
                <w:sz w:val="18"/>
                <w:szCs w:val="18"/>
              </w:rPr>
              <w:t> </w:t>
            </w:r>
          </w:p>
        </w:tc>
        <w:tc>
          <w:tcPr>
            <w:tcW w:w="583"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583"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64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53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584"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584"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584"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59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584"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584"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584"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58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default"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594"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r>
    </w:tbl>
    <w:p>
      <w:pPr>
        <w:widowControl/>
        <w:spacing w:line="432" w:lineRule="auto"/>
        <w:rPr>
          <w:rFonts w:hint="eastAsia" w:ascii="黑体" w:hAnsi="黑体" w:eastAsia="黑体" w:cs="黑体"/>
          <w:b/>
          <w:bCs/>
          <w:color w:val="333333"/>
          <w:kern w:val="0"/>
          <w:sz w:val="32"/>
          <w:szCs w:val="32"/>
        </w:rPr>
      </w:pPr>
      <w:r>
        <w:rPr>
          <w:rFonts w:hint="eastAsia" w:ascii="黑体" w:hAnsi="黑体" w:eastAsia="黑体" w:cs="黑体"/>
          <w:b/>
          <w:bCs/>
          <w:color w:val="333333"/>
          <w:kern w:val="0"/>
          <w:sz w:val="32"/>
          <w:szCs w:val="32"/>
          <w:lang w:eastAsia="zh-CN"/>
        </w:rPr>
        <w:t>五、</w:t>
      </w:r>
      <w:r>
        <w:rPr>
          <w:rFonts w:hint="eastAsia" w:ascii="黑体" w:hAnsi="黑体" w:eastAsia="黑体" w:cs="黑体"/>
          <w:b/>
          <w:bCs/>
          <w:color w:val="333333"/>
          <w:kern w:val="0"/>
          <w:sz w:val="32"/>
          <w:szCs w:val="32"/>
        </w:rPr>
        <w:t>存在的主要问题及改进情况</w:t>
      </w:r>
    </w:p>
    <w:p>
      <w:pPr>
        <w:widowControl/>
        <w:numPr>
          <w:ilvl w:val="0"/>
          <w:numId w:val="0"/>
        </w:numPr>
        <w:spacing w:line="432" w:lineRule="auto"/>
        <w:ind w:firstLine="640" w:firstLineChars="200"/>
        <w:rPr>
          <w:rFonts w:hint="eastAsia" w:ascii="仿宋_GB2312" w:hAnsi="仿宋_GB2312" w:eastAsia="仿宋_GB2312" w:cs="仿宋_GB2312"/>
          <w:b w:val="0"/>
          <w:bCs w:val="0"/>
          <w:color w:val="333333"/>
          <w:kern w:val="0"/>
          <w:sz w:val="32"/>
          <w:szCs w:val="32"/>
          <w:lang w:val="en-US" w:eastAsia="zh-CN"/>
        </w:rPr>
      </w:pPr>
      <w:r>
        <w:rPr>
          <w:rFonts w:hint="eastAsia" w:ascii="仿宋_GB2312" w:hAnsi="仿宋_GB2312" w:eastAsia="仿宋_GB2312" w:cs="仿宋_GB2312"/>
          <w:b w:val="0"/>
          <w:bCs w:val="0"/>
          <w:color w:val="333333"/>
          <w:kern w:val="0"/>
          <w:sz w:val="32"/>
          <w:szCs w:val="32"/>
          <w:lang w:val="en-US" w:eastAsia="zh-CN"/>
        </w:rPr>
        <w:t>2021年大潘街道在上级主管部门正确领导下政务公开工作取得了新的进展，公开信息数量和质量较上一年均有提升，但与公众需求还存在一些差距，主要是由于主动公开意识还不够强、部分信息公开不够及时，所提供的信息与群众真正想要的信息存在“错位”、政府信息公开制度体系还需进一步细化和完善，公开形式便民性多样性需要进一步提高。</w:t>
      </w:r>
    </w:p>
    <w:p>
      <w:pPr>
        <w:widowControl/>
        <w:numPr>
          <w:ilvl w:val="0"/>
          <w:numId w:val="0"/>
        </w:numPr>
        <w:spacing w:line="432" w:lineRule="auto"/>
        <w:ind w:firstLine="640" w:firstLineChars="200"/>
        <w:rPr>
          <w:rFonts w:hint="default" w:ascii="仿宋_GB2312" w:hAnsi="仿宋_GB2312" w:eastAsia="仿宋_GB2312" w:cs="仿宋_GB2312"/>
          <w:b w:val="0"/>
          <w:bCs w:val="0"/>
          <w:color w:val="333333"/>
          <w:kern w:val="0"/>
          <w:sz w:val="32"/>
          <w:szCs w:val="32"/>
          <w:lang w:val="en-US" w:eastAsia="zh-CN"/>
        </w:rPr>
      </w:pPr>
      <w:r>
        <w:rPr>
          <w:rFonts w:hint="eastAsia" w:ascii="仿宋_GB2312" w:hAnsi="仿宋_GB2312" w:eastAsia="仿宋_GB2312" w:cs="仿宋_GB2312"/>
          <w:b w:val="0"/>
          <w:bCs w:val="0"/>
          <w:color w:val="333333"/>
          <w:kern w:val="0"/>
          <w:sz w:val="32"/>
          <w:szCs w:val="32"/>
          <w:lang w:val="en-US" w:eastAsia="zh-CN"/>
        </w:rPr>
        <w:t xml:space="preserve">2022年为进一步做好政务信息公开工作，我街道将从以下几方面做出改进：一是进一步健全和完善政务公开相关制度。明确政务公开工作职责，建立行政办公室统筹协调推进，相关业务科室各司其职、各负其责的工作网络，扩大信息来源渠道，增强信息报送时效性。二是加大培训力度。组织各科室学习《中华人民共和国政府信息公开条例》，进一步提升工作人员对信息公开工作的理解、认识、运用和落实能力，为按时按质完成政府信息公开工作打下坚实基础。三是提升信息报送质量。主动加大公开力度，严格落实上级要求，围绕群众关注的大事、实事，重点抓好和群众利益密切相关的信息公开工作，进一步扩大公开范围，提高公开针对性、实效性。 </w:t>
      </w:r>
    </w:p>
    <w:p>
      <w:pPr>
        <w:widowControl/>
        <w:spacing w:line="432" w:lineRule="auto"/>
        <w:rPr>
          <w:rFonts w:hint="eastAsia" w:ascii="黑体" w:hAnsi="黑体" w:eastAsia="黑体" w:cs="黑体"/>
          <w:b/>
          <w:bCs/>
          <w:color w:val="333333"/>
          <w:kern w:val="0"/>
          <w:sz w:val="32"/>
          <w:szCs w:val="32"/>
        </w:rPr>
      </w:pPr>
      <w:r>
        <w:rPr>
          <w:rFonts w:hint="eastAsia" w:ascii="黑体" w:hAnsi="黑体" w:eastAsia="黑体" w:cs="黑体"/>
          <w:b/>
          <w:bCs/>
          <w:color w:val="333333"/>
          <w:kern w:val="0"/>
          <w:sz w:val="32"/>
          <w:szCs w:val="32"/>
        </w:rPr>
        <w:t>六、其他需要报告的事项</w:t>
      </w:r>
    </w:p>
    <w:p>
      <w:pPr>
        <w:spacing w:line="640" w:lineRule="exact"/>
        <w:ind w:firstLine="642"/>
        <w:rPr>
          <w:rStyle w:val="10"/>
          <w:rFonts w:hint="eastAsia" w:ascii="仿宋_GB2312" w:hAnsi="仿宋_GB2312" w:eastAsia="仿宋_GB2312" w:cs="仿宋_GB2312"/>
          <w:b w:val="0"/>
          <w:bCs w:val="0"/>
          <w:i w:val="0"/>
          <w:iCs w:val="0"/>
          <w:color w:val="333333"/>
          <w:sz w:val="32"/>
          <w:szCs w:val="32"/>
          <w:lang w:val="en-US" w:eastAsia="zh-CN"/>
        </w:rPr>
      </w:pPr>
      <w:r>
        <w:rPr>
          <w:rStyle w:val="10"/>
          <w:rFonts w:hint="eastAsia" w:ascii="仿宋_GB2312" w:hAnsi="仿宋_GB2312" w:eastAsia="仿宋_GB2312" w:cs="仿宋_GB2312"/>
          <w:b w:val="0"/>
          <w:bCs w:val="0"/>
          <w:i w:val="0"/>
          <w:iCs w:val="0"/>
          <w:color w:val="333333"/>
          <w:sz w:val="32"/>
          <w:szCs w:val="32"/>
          <w:lang w:val="en-US" w:eastAsia="zh-CN"/>
        </w:rPr>
        <w:t>无</w:t>
      </w:r>
    </w:p>
    <w:p>
      <w:pPr>
        <w:spacing w:line="640" w:lineRule="exact"/>
        <w:ind w:firstLine="642"/>
        <w:rPr>
          <w:rStyle w:val="10"/>
          <w:rFonts w:hint="eastAsia" w:ascii="仿宋" w:hAnsi="仿宋" w:eastAsia="仿宋" w:cs="仿宋"/>
          <w:b w:val="0"/>
          <w:bCs w:val="0"/>
          <w:i w:val="0"/>
          <w:iCs w:val="0"/>
          <w:color w:val="333333"/>
          <w:sz w:val="32"/>
          <w:szCs w:val="32"/>
          <w:lang w:val="en-US" w:eastAsia="zh-CN"/>
        </w:rPr>
      </w:pPr>
    </w:p>
    <w:p>
      <w:pPr>
        <w:spacing w:line="640" w:lineRule="exact"/>
        <w:ind w:firstLine="642"/>
        <w:rPr>
          <w:rStyle w:val="10"/>
          <w:rFonts w:hint="eastAsia" w:ascii="仿宋" w:hAnsi="仿宋" w:eastAsia="仿宋" w:cs="仿宋"/>
          <w:b w:val="0"/>
          <w:bCs w:val="0"/>
          <w:i w:val="0"/>
          <w:iCs w:val="0"/>
          <w:color w:val="333333"/>
          <w:sz w:val="32"/>
          <w:szCs w:val="32"/>
          <w:lang w:val="en-US" w:eastAsia="zh-CN"/>
        </w:rPr>
      </w:pPr>
    </w:p>
    <w:p>
      <w:pPr>
        <w:spacing w:line="640" w:lineRule="exact"/>
        <w:ind w:firstLine="642"/>
        <w:rPr>
          <w:rStyle w:val="10"/>
          <w:rFonts w:hint="eastAsia" w:ascii="仿宋_GB2312" w:hAnsi="仿宋_GB2312" w:eastAsia="仿宋_GB2312" w:cs="仿宋_GB2312"/>
          <w:b w:val="0"/>
          <w:bCs w:val="0"/>
          <w:i w:val="0"/>
          <w:iCs w:val="0"/>
          <w:color w:val="333333"/>
          <w:sz w:val="32"/>
          <w:szCs w:val="32"/>
          <w:lang w:val="en-US" w:eastAsia="zh-CN"/>
        </w:rPr>
      </w:pPr>
      <w:r>
        <w:rPr>
          <w:rStyle w:val="10"/>
          <w:rFonts w:hint="eastAsia" w:ascii="仿宋" w:hAnsi="仿宋" w:eastAsia="仿宋" w:cs="仿宋"/>
          <w:b w:val="0"/>
          <w:bCs w:val="0"/>
          <w:i w:val="0"/>
          <w:iCs w:val="0"/>
          <w:color w:val="333333"/>
          <w:sz w:val="32"/>
          <w:szCs w:val="32"/>
          <w:lang w:val="en-US" w:eastAsia="zh-CN"/>
        </w:rPr>
        <w:t xml:space="preserve">                         </w:t>
      </w:r>
      <w:r>
        <w:rPr>
          <w:rStyle w:val="10"/>
          <w:rFonts w:hint="eastAsia" w:ascii="仿宋_GB2312" w:hAnsi="仿宋_GB2312" w:eastAsia="仿宋_GB2312" w:cs="仿宋_GB2312"/>
          <w:b w:val="0"/>
          <w:bCs w:val="0"/>
          <w:i w:val="0"/>
          <w:iCs w:val="0"/>
          <w:color w:val="333333"/>
          <w:sz w:val="32"/>
          <w:szCs w:val="32"/>
          <w:lang w:val="en-US" w:eastAsia="zh-CN"/>
        </w:rPr>
        <w:t xml:space="preserve">  铁西区大潘街道办事处</w:t>
      </w:r>
    </w:p>
    <w:p>
      <w:pPr>
        <w:spacing w:line="640" w:lineRule="exact"/>
        <w:ind w:firstLine="642"/>
        <w:rPr>
          <w:rStyle w:val="10"/>
          <w:rFonts w:hint="eastAsia" w:ascii="仿宋_GB2312" w:hAnsi="仿宋_GB2312" w:eastAsia="仿宋_GB2312" w:cs="仿宋_GB2312"/>
          <w:b w:val="0"/>
          <w:bCs w:val="0"/>
          <w:i w:val="0"/>
          <w:iCs w:val="0"/>
          <w:color w:val="333333"/>
          <w:sz w:val="32"/>
          <w:szCs w:val="32"/>
          <w:lang w:val="en-US" w:eastAsia="zh-CN"/>
        </w:rPr>
      </w:pPr>
      <w:r>
        <w:rPr>
          <w:rStyle w:val="10"/>
          <w:rFonts w:hint="eastAsia" w:ascii="仿宋_GB2312" w:hAnsi="仿宋_GB2312" w:eastAsia="仿宋_GB2312" w:cs="仿宋_GB2312"/>
          <w:b w:val="0"/>
          <w:bCs w:val="0"/>
          <w:i w:val="0"/>
          <w:iCs w:val="0"/>
          <w:color w:val="333333"/>
          <w:sz w:val="32"/>
          <w:szCs w:val="32"/>
          <w:lang w:val="en-US" w:eastAsia="zh-CN"/>
        </w:rPr>
        <w:t xml:space="preserve">                              2022年1月13日</w:t>
      </w:r>
    </w:p>
    <w:sectPr>
      <w:headerReference r:id="rId4" w:type="first"/>
      <w:footerReference r:id="rId7" w:type="first"/>
      <w:footerReference r:id="rId5" w:type="default"/>
      <w:headerReference r:id="rId3" w:type="even"/>
      <w:footerReference r:id="rId6" w:type="even"/>
      <w:pgSz w:w="11906" w:h="16838"/>
      <w:pgMar w:top="1757" w:right="1417"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931894"/>
    </w:sdtPr>
    <w:sdtContent>
      <w:p>
        <w:pPr>
          <w:pStyle w:val="5"/>
          <w:jc w:val="right"/>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w:t>
        </w:r>
        <w:r>
          <w:rPr>
            <w:sz w:val="24"/>
            <w:szCs w:val="24"/>
          </w:rPr>
          <w:t xml:space="preserve"> 1 -</w:t>
        </w:r>
        <w:r>
          <w:rPr>
            <w:sz w:val="24"/>
            <w:szCs w:val="24"/>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619AB"/>
    <w:rsid w:val="00010114"/>
    <w:rsid w:val="00077B17"/>
    <w:rsid w:val="00091A4B"/>
    <w:rsid w:val="000C5945"/>
    <w:rsid w:val="0011519C"/>
    <w:rsid w:val="00154D31"/>
    <w:rsid w:val="0018758F"/>
    <w:rsid w:val="00196E24"/>
    <w:rsid w:val="002346AA"/>
    <w:rsid w:val="00236465"/>
    <w:rsid w:val="002A2C43"/>
    <w:rsid w:val="002C2629"/>
    <w:rsid w:val="002E60D8"/>
    <w:rsid w:val="00363500"/>
    <w:rsid w:val="003703C9"/>
    <w:rsid w:val="0038094B"/>
    <w:rsid w:val="003D13B3"/>
    <w:rsid w:val="004127E8"/>
    <w:rsid w:val="004E7E06"/>
    <w:rsid w:val="005074C7"/>
    <w:rsid w:val="005318E1"/>
    <w:rsid w:val="00566FEA"/>
    <w:rsid w:val="00614C5C"/>
    <w:rsid w:val="00665AE2"/>
    <w:rsid w:val="00674005"/>
    <w:rsid w:val="006F3E39"/>
    <w:rsid w:val="0073762B"/>
    <w:rsid w:val="00765852"/>
    <w:rsid w:val="007A4968"/>
    <w:rsid w:val="007B585A"/>
    <w:rsid w:val="008C75D7"/>
    <w:rsid w:val="0090038A"/>
    <w:rsid w:val="00904D82"/>
    <w:rsid w:val="00920540"/>
    <w:rsid w:val="0094652D"/>
    <w:rsid w:val="009A4F32"/>
    <w:rsid w:val="00A13922"/>
    <w:rsid w:val="00A619AB"/>
    <w:rsid w:val="00A72FD9"/>
    <w:rsid w:val="00A74841"/>
    <w:rsid w:val="00B7658F"/>
    <w:rsid w:val="00B9554D"/>
    <w:rsid w:val="00BA3A89"/>
    <w:rsid w:val="00BB7077"/>
    <w:rsid w:val="00C2282B"/>
    <w:rsid w:val="00CA1DCC"/>
    <w:rsid w:val="00D143AE"/>
    <w:rsid w:val="00D41B11"/>
    <w:rsid w:val="00D63423"/>
    <w:rsid w:val="00DA40FD"/>
    <w:rsid w:val="00DC6208"/>
    <w:rsid w:val="00DF5B99"/>
    <w:rsid w:val="00EF7248"/>
    <w:rsid w:val="00F41156"/>
    <w:rsid w:val="02A14C7A"/>
    <w:rsid w:val="05C1368A"/>
    <w:rsid w:val="07BE007D"/>
    <w:rsid w:val="09783F4A"/>
    <w:rsid w:val="0D1E35E0"/>
    <w:rsid w:val="0F187EF4"/>
    <w:rsid w:val="19145D4E"/>
    <w:rsid w:val="1A230072"/>
    <w:rsid w:val="1D7E5E8C"/>
    <w:rsid w:val="1EEE0DF0"/>
    <w:rsid w:val="20085EE1"/>
    <w:rsid w:val="22AC721C"/>
    <w:rsid w:val="237951B0"/>
    <w:rsid w:val="285B4637"/>
    <w:rsid w:val="298649E0"/>
    <w:rsid w:val="2A1F33BB"/>
    <w:rsid w:val="2D753B09"/>
    <w:rsid w:val="2F685EAB"/>
    <w:rsid w:val="2F8A246F"/>
    <w:rsid w:val="30BA4FD6"/>
    <w:rsid w:val="30EC6582"/>
    <w:rsid w:val="31EA2B99"/>
    <w:rsid w:val="370E66B5"/>
    <w:rsid w:val="38E2406F"/>
    <w:rsid w:val="3A8417EA"/>
    <w:rsid w:val="3CBF4365"/>
    <w:rsid w:val="3D9A41C5"/>
    <w:rsid w:val="3E364E77"/>
    <w:rsid w:val="3E605AA8"/>
    <w:rsid w:val="3F0E694A"/>
    <w:rsid w:val="3F836EDA"/>
    <w:rsid w:val="42A920B1"/>
    <w:rsid w:val="436116D1"/>
    <w:rsid w:val="47F35197"/>
    <w:rsid w:val="483E06A7"/>
    <w:rsid w:val="49D561B4"/>
    <w:rsid w:val="49D7279F"/>
    <w:rsid w:val="4B9C37FE"/>
    <w:rsid w:val="51CF14F1"/>
    <w:rsid w:val="571E77BD"/>
    <w:rsid w:val="5B70435F"/>
    <w:rsid w:val="619B0653"/>
    <w:rsid w:val="62314EA5"/>
    <w:rsid w:val="638C763C"/>
    <w:rsid w:val="68893325"/>
    <w:rsid w:val="6A6E4160"/>
    <w:rsid w:val="6EA2087C"/>
    <w:rsid w:val="720C287E"/>
    <w:rsid w:val="723506A3"/>
    <w:rsid w:val="74354CD8"/>
    <w:rsid w:val="786C7F30"/>
    <w:rsid w:val="7C01589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1"/>
      <w:szCs w:val="24"/>
      <w:lang w:val="en-US" w:eastAsia="zh-CN" w:bidi="ar-SA"/>
    </w:rPr>
  </w:style>
  <w:style w:type="paragraph" w:styleId="2">
    <w:name w:val="heading 2"/>
    <w:basedOn w:val="1"/>
    <w:next w:val="1"/>
    <w:link w:val="12"/>
    <w:qFormat/>
    <w:uiPriority w:val="0"/>
    <w:pPr>
      <w:spacing w:before="100" w:beforeAutospacing="1" w:after="100" w:afterAutospacing="1"/>
      <w:jc w:val="left"/>
      <w:outlineLvl w:val="1"/>
    </w:pPr>
    <w:rPr>
      <w:rFonts w:hint="eastAsia" w:ascii="宋体" w:hAnsi="宋体" w:cs="Times New Roman"/>
      <w:b/>
      <w:kern w:val="0"/>
      <w:sz w:val="36"/>
      <w:szCs w:val="36"/>
    </w:rPr>
  </w:style>
  <w:style w:type="paragraph" w:styleId="3">
    <w:name w:val="heading 3"/>
    <w:basedOn w:val="1"/>
    <w:next w:val="1"/>
    <w:link w:val="11"/>
    <w:unhideWhenUsed/>
    <w:qFormat/>
    <w:uiPriority w:val="0"/>
    <w:pPr>
      <w:keepNext/>
      <w:keepLines/>
      <w:spacing w:before="260" w:after="260" w:line="416" w:lineRule="auto"/>
      <w:outlineLvl w:val="2"/>
    </w:pPr>
    <w:rPr>
      <w:rFonts w:cs="Times New Roman"/>
      <w:b/>
      <w:bCs/>
      <w:sz w:val="32"/>
      <w:szCs w:val="32"/>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4">
    <w:name w:val="Balloon Text"/>
    <w:basedOn w:val="1"/>
    <w:link w:val="16"/>
    <w:unhideWhenUsed/>
    <w:qFormat/>
    <w:uiPriority w:val="99"/>
    <w:rPr>
      <w:sz w:val="16"/>
      <w:szCs w:val="16"/>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0">
    <w:name w:val="Emphasis"/>
    <w:basedOn w:val="9"/>
    <w:qFormat/>
    <w:uiPriority w:val="20"/>
    <w:rPr>
      <w:i/>
      <w:iCs/>
    </w:rPr>
  </w:style>
  <w:style w:type="character" w:customStyle="1" w:styleId="11">
    <w:name w:val="标题 3 字符"/>
    <w:basedOn w:val="9"/>
    <w:link w:val="3"/>
    <w:semiHidden/>
    <w:qFormat/>
    <w:uiPriority w:val="0"/>
    <w:rPr>
      <w:b/>
      <w:bCs/>
      <w:kern w:val="2"/>
      <w:sz w:val="32"/>
      <w:szCs w:val="32"/>
    </w:rPr>
  </w:style>
  <w:style w:type="character" w:customStyle="1" w:styleId="12">
    <w:name w:val="标题 2 字符"/>
    <w:basedOn w:val="9"/>
    <w:link w:val="2"/>
    <w:qFormat/>
    <w:uiPriority w:val="0"/>
    <w:rPr>
      <w:rFonts w:ascii="宋体" w:hAnsi="宋体"/>
      <w:b/>
      <w:sz w:val="36"/>
      <w:szCs w:val="36"/>
    </w:rPr>
  </w:style>
  <w:style w:type="paragraph" w:customStyle="1" w:styleId="13">
    <w:name w:val="List Paragraph"/>
    <w:basedOn w:val="1"/>
    <w:qFormat/>
    <w:uiPriority w:val="99"/>
    <w:pPr>
      <w:ind w:firstLine="420" w:firstLineChars="200"/>
    </w:pPr>
  </w:style>
  <w:style w:type="character" w:customStyle="1" w:styleId="14">
    <w:name w:val="页眉 字符"/>
    <w:basedOn w:val="9"/>
    <w:link w:val="6"/>
    <w:qFormat/>
    <w:uiPriority w:val="99"/>
    <w:rPr>
      <w:rFonts w:cstheme="minorBidi"/>
      <w:kern w:val="2"/>
      <w:sz w:val="18"/>
      <w:szCs w:val="18"/>
    </w:rPr>
  </w:style>
  <w:style w:type="character" w:customStyle="1" w:styleId="15">
    <w:name w:val="页脚 字符"/>
    <w:basedOn w:val="9"/>
    <w:link w:val="5"/>
    <w:qFormat/>
    <w:uiPriority w:val="99"/>
    <w:rPr>
      <w:rFonts w:cstheme="minorBidi"/>
      <w:kern w:val="2"/>
      <w:sz w:val="18"/>
      <w:szCs w:val="18"/>
    </w:rPr>
  </w:style>
  <w:style w:type="character" w:customStyle="1" w:styleId="16">
    <w:name w:val="批注框文本 字符"/>
    <w:basedOn w:val="9"/>
    <w:link w:val="4"/>
    <w:semiHidden/>
    <w:qFormat/>
    <w:uiPriority w:val="99"/>
    <w:rPr>
      <w:rFonts w:cstheme="minorBidi"/>
      <w:kern w:val="2"/>
      <w:sz w:val="16"/>
      <w:szCs w:val="1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AF694E-A2E7-46D5-99B9-917B08CACBF5}">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182</Words>
  <Characters>1039</Characters>
  <Lines>8</Lines>
  <Paragraphs>2</Paragraphs>
  <TotalTime>4</TotalTime>
  <ScaleCrop>false</ScaleCrop>
  <LinksUpToDate>false</LinksUpToDate>
  <CharactersWithSpaces>1219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2020-01-09T07:33:00Z</dcterms:created>
  <dc:creator>dreamsummit</dc:creator>
  <cp:lastModifiedBy>Administrator</cp:lastModifiedBy>
  <cp:lastPrinted>2022-01-14T05:32:00Z</cp:lastPrinted>
  <dcterms:modified xsi:type="dcterms:W3CDTF">2022-01-29T07:37:53Z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A54D5FA4FD56461AA787206E5834B896</vt:lpwstr>
  </property>
</Properties>
</file>