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铁西区兴顺街道办事处2021年政府信息</w:t>
      </w:r>
    </w:p>
    <w:p>
      <w:pPr>
        <w:bidi w:val="0"/>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val="en-US" w:eastAsia="zh-CN"/>
        </w:rPr>
        <w:t>公开工作年度报告</w:t>
      </w:r>
    </w:p>
    <w:p>
      <w:pPr>
        <w:widowControl/>
        <w:numPr>
          <w:ilvl w:val="0"/>
          <w:numId w:val="0"/>
        </w:numPr>
        <w:spacing w:line="432" w:lineRule="auto"/>
        <w:ind w:firstLine="643" w:firstLineChars="200"/>
        <w:rPr>
          <w:rFonts w:hint="eastAsia" w:ascii="黑体" w:hAnsi="黑体" w:eastAsia="黑体" w:cs="黑体"/>
          <w:b/>
          <w:bCs/>
          <w:color w:val="auto"/>
          <w:kern w:val="0"/>
          <w:sz w:val="32"/>
          <w:szCs w:val="32"/>
          <w:lang w:eastAsia="zh-CN"/>
        </w:rPr>
      </w:pPr>
      <w:r>
        <w:rPr>
          <w:rFonts w:hint="eastAsia" w:ascii="黑体" w:hAnsi="黑体" w:eastAsia="黑体" w:cs="黑体"/>
          <w:b/>
          <w:bCs/>
          <w:color w:val="auto"/>
          <w:kern w:val="0"/>
          <w:sz w:val="32"/>
          <w:szCs w:val="32"/>
          <w:lang w:eastAsia="zh-CN"/>
        </w:rPr>
        <w:t>一、总体情况</w:t>
      </w:r>
    </w:p>
    <w:p>
      <w:pPr>
        <w:widowControl/>
        <w:numPr>
          <w:ilvl w:val="0"/>
          <w:numId w:val="0"/>
        </w:numPr>
        <w:spacing w:line="432" w:lineRule="auto"/>
        <w:ind w:firstLine="640" w:firstLineChars="200"/>
        <w:rPr>
          <w:rFonts w:hint="eastAsia" w:ascii="仿宋" w:hAnsi="仿宋" w:eastAsia="仿宋" w:cs="仿宋"/>
          <w:b w:val="0"/>
          <w:bCs w:val="0"/>
          <w:color w:val="auto"/>
          <w:kern w:val="0"/>
          <w:sz w:val="32"/>
          <w:szCs w:val="32"/>
          <w:lang w:eastAsia="zh-CN"/>
        </w:rPr>
      </w:pPr>
      <w:r>
        <w:rPr>
          <w:rFonts w:hint="eastAsia" w:ascii="仿宋" w:hAnsi="仿宋" w:eastAsia="仿宋" w:cs="仿宋"/>
          <w:b w:val="0"/>
          <w:bCs w:val="0"/>
          <w:color w:val="auto"/>
          <w:kern w:val="0"/>
          <w:sz w:val="32"/>
          <w:szCs w:val="32"/>
          <w:lang w:eastAsia="zh-CN"/>
        </w:rPr>
        <w:t>202</w:t>
      </w:r>
      <w:r>
        <w:rPr>
          <w:rFonts w:hint="eastAsia" w:ascii="仿宋" w:hAnsi="仿宋" w:eastAsia="仿宋" w:cs="仿宋"/>
          <w:b w:val="0"/>
          <w:bCs w:val="0"/>
          <w:color w:val="auto"/>
          <w:kern w:val="0"/>
          <w:sz w:val="32"/>
          <w:szCs w:val="32"/>
          <w:lang w:val="en-US" w:eastAsia="zh-CN"/>
        </w:rPr>
        <w:t>1</w:t>
      </w:r>
      <w:r>
        <w:rPr>
          <w:rFonts w:hint="eastAsia" w:ascii="仿宋" w:hAnsi="仿宋" w:eastAsia="仿宋" w:cs="仿宋"/>
          <w:b w:val="0"/>
          <w:bCs w:val="0"/>
          <w:color w:val="auto"/>
          <w:kern w:val="0"/>
          <w:sz w:val="32"/>
          <w:szCs w:val="32"/>
          <w:lang w:eastAsia="zh-CN"/>
        </w:rPr>
        <w:t>年，铁西区兴顺街道办事处在区委、区政府的正确领导下认真贯彻落实《中华人民共和国政府信息公开条例》的各项要求，严格执行国家、省、市、区关于政务信息公开工作的方针、政策，全面推进行政决策、执行、管理、服务、结果“五公开”。现将兴顺街道政务公开工作情况总结如下：</w:t>
      </w:r>
    </w:p>
    <w:p>
      <w:pPr>
        <w:widowControl/>
        <w:numPr>
          <w:ilvl w:val="0"/>
          <w:numId w:val="1"/>
        </w:numPr>
        <w:spacing w:line="432" w:lineRule="auto"/>
        <w:ind w:firstLine="643" w:firstLineChars="200"/>
        <w:rPr>
          <w:rFonts w:hint="eastAsia" w:ascii="楷体" w:hAnsi="楷体" w:eastAsia="楷体" w:cs="楷体"/>
          <w:b/>
          <w:bCs/>
          <w:color w:val="333333"/>
          <w:kern w:val="0"/>
          <w:sz w:val="32"/>
          <w:szCs w:val="32"/>
          <w:lang w:eastAsia="zh-CN"/>
        </w:rPr>
      </w:pPr>
      <w:r>
        <w:rPr>
          <w:rFonts w:hint="eastAsia" w:ascii="楷体" w:hAnsi="楷体" w:eastAsia="楷体" w:cs="楷体"/>
          <w:b/>
          <w:bCs/>
          <w:color w:val="333333"/>
          <w:kern w:val="0"/>
          <w:sz w:val="32"/>
          <w:szCs w:val="32"/>
          <w:lang w:eastAsia="zh-CN"/>
        </w:rPr>
        <w:t>主动公开</w:t>
      </w:r>
      <w:bookmarkStart w:id="0" w:name="_GoBack"/>
      <w:bookmarkEnd w:id="0"/>
    </w:p>
    <w:p>
      <w:pPr>
        <w:widowControl/>
        <w:numPr>
          <w:ilvl w:val="0"/>
          <w:numId w:val="0"/>
        </w:numPr>
        <w:spacing w:line="432" w:lineRule="auto"/>
        <w:rPr>
          <w:rFonts w:hint="eastAsia" w:ascii="仿宋" w:hAnsi="仿宋" w:eastAsia="仿宋" w:cs="仿宋"/>
          <w:b/>
          <w:bCs/>
          <w:color w:val="333333"/>
          <w:kern w:val="0"/>
          <w:sz w:val="32"/>
          <w:szCs w:val="32"/>
          <w:lang w:val="en-US" w:eastAsia="zh-CN"/>
        </w:rPr>
      </w:pPr>
      <w:r>
        <w:rPr>
          <w:rFonts w:hint="eastAsia" w:ascii="仿宋" w:hAnsi="仿宋" w:eastAsia="仿宋" w:cs="仿宋"/>
          <w:b/>
          <w:bCs/>
          <w:color w:val="333333"/>
          <w:kern w:val="0"/>
          <w:sz w:val="32"/>
          <w:szCs w:val="32"/>
          <w:lang w:val="en-US" w:eastAsia="zh-CN"/>
        </w:rPr>
        <w:t xml:space="preserve">    </w:t>
      </w:r>
      <w:r>
        <w:rPr>
          <w:rFonts w:hint="eastAsia" w:ascii="仿宋" w:hAnsi="仿宋" w:eastAsia="仿宋" w:cs="仿宋"/>
          <w:b w:val="0"/>
          <w:bCs w:val="0"/>
          <w:color w:val="auto"/>
          <w:kern w:val="0"/>
          <w:sz w:val="32"/>
          <w:szCs w:val="32"/>
          <w:lang w:val="en-US" w:eastAsia="zh-CN"/>
        </w:rPr>
        <w:t>2021年兴顺街道办事处按照《中华人民共和国政府信息公开条例》和省、市、区政府信息公开工作相关规定，不断规范信息内容，及时、准确地向社会主动公开各类信息1652条，其中，政务新媒体发布信息111条，线下公开政府信息1541条。</w:t>
      </w:r>
    </w:p>
    <w:p>
      <w:pPr>
        <w:widowControl/>
        <w:numPr>
          <w:ilvl w:val="0"/>
          <w:numId w:val="1"/>
        </w:numPr>
        <w:spacing w:line="432" w:lineRule="auto"/>
        <w:ind w:firstLine="643" w:firstLineChars="200"/>
        <w:rPr>
          <w:rFonts w:hint="eastAsia" w:ascii="楷体" w:hAnsi="楷体" w:eastAsia="楷体" w:cs="楷体"/>
          <w:b/>
          <w:bCs/>
          <w:color w:val="333333"/>
          <w:kern w:val="0"/>
          <w:sz w:val="32"/>
          <w:szCs w:val="32"/>
          <w:lang w:eastAsia="zh-CN"/>
        </w:rPr>
      </w:pPr>
      <w:r>
        <w:rPr>
          <w:rFonts w:hint="eastAsia" w:ascii="楷体" w:hAnsi="楷体" w:eastAsia="楷体" w:cs="楷体"/>
          <w:b/>
          <w:bCs/>
          <w:color w:val="333333"/>
          <w:kern w:val="0"/>
          <w:sz w:val="32"/>
          <w:szCs w:val="32"/>
          <w:lang w:eastAsia="zh-CN"/>
        </w:rPr>
        <w:t>依申请公开</w:t>
      </w:r>
    </w:p>
    <w:p>
      <w:pPr>
        <w:widowControl/>
        <w:numPr>
          <w:ilvl w:val="0"/>
          <w:numId w:val="0"/>
        </w:numPr>
        <w:spacing w:line="432" w:lineRule="auto"/>
        <w:ind w:firstLine="642"/>
        <w:rPr>
          <w:rFonts w:hint="eastAsia" w:ascii="仿宋" w:hAnsi="仿宋" w:eastAsia="仿宋" w:cs="仿宋"/>
          <w:b w:val="0"/>
          <w:bCs w:val="0"/>
          <w:color w:val="333333"/>
          <w:kern w:val="0"/>
          <w:sz w:val="32"/>
          <w:szCs w:val="32"/>
          <w:lang w:val="en-US" w:eastAsia="zh-CN"/>
        </w:rPr>
      </w:pPr>
      <w:r>
        <w:rPr>
          <w:rFonts w:hint="eastAsia" w:ascii="仿宋" w:hAnsi="仿宋" w:eastAsia="仿宋" w:cs="仿宋"/>
          <w:b w:val="0"/>
          <w:bCs w:val="0"/>
          <w:color w:val="333333"/>
          <w:kern w:val="0"/>
          <w:sz w:val="32"/>
          <w:szCs w:val="32"/>
          <w:lang w:val="en-US" w:eastAsia="zh-CN"/>
        </w:rPr>
        <w:t>兴顺街道办事处按照《中华人民共和国政府信息公开条例》有关要求，健全政府信息公开申请办理制度，进一步优化接收登记、申请表审查、查找信息、保密审查、答复意见审核、归档备查的办理流程，切实提高答复的时效性。2021年兴顺街道办事处未收到政府信息公开申请。</w:t>
      </w:r>
    </w:p>
    <w:p>
      <w:pPr>
        <w:widowControl/>
        <w:numPr>
          <w:ilvl w:val="0"/>
          <w:numId w:val="1"/>
        </w:numPr>
        <w:spacing w:line="432" w:lineRule="auto"/>
        <w:ind w:firstLine="643" w:firstLineChars="200"/>
        <w:rPr>
          <w:rFonts w:hint="eastAsia" w:ascii="楷体" w:hAnsi="楷体" w:eastAsia="楷体" w:cs="楷体"/>
          <w:b/>
          <w:bCs/>
          <w:color w:val="333333"/>
          <w:kern w:val="0"/>
          <w:sz w:val="32"/>
          <w:szCs w:val="32"/>
          <w:lang w:val="en-US" w:eastAsia="zh-CN"/>
        </w:rPr>
      </w:pPr>
      <w:r>
        <w:rPr>
          <w:rFonts w:hint="eastAsia" w:ascii="楷体" w:hAnsi="楷体" w:eastAsia="楷体" w:cs="楷体"/>
          <w:b/>
          <w:bCs/>
          <w:color w:val="333333"/>
          <w:kern w:val="0"/>
          <w:sz w:val="32"/>
          <w:szCs w:val="32"/>
          <w:lang w:val="en-US" w:eastAsia="zh-CN"/>
        </w:rPr>
        <w:t>政府信息管理</w:t>
      </w:r>
    </w:p>
    <w:p>
      <w:pPr>
        <w:widowControl/>
        <w:numPr>
          <w:ilvl w:val="0"/>
          <w:numId w:val="0"/>
        </w:numPr>
        <w:spacing w:line="432" w:lineRule="auto"/>
        <w:ind w:firstLine="642"/>
        <w:rPr>
          <w:rFonts w:hint="eastAsia" w:ascii="仿宋" w:hAnsi="仿宋" w:eastAsia="仿宋" w:cs="仿宋"/>
          <w:b w:val="0"/>
          <w:bCs w:val="0"/>
          <w:color w:val="333333"/>
          <w:kern w:val="0"/>
          <w:sz w:val="32"/>
          <w:szCs w:val="32"/>
          <w:lang w:val="en-US" w:eastAsia="zh-CN"/>
        </w:rPr>
      </w:pPr>
      <w:r>
        <w:rPr>
          <w:rFonts w:hint="eastAsia" w:ascii="仿宋" w:hAnsi="仿宋" w:eastAsia="仿宋" w:cs="仿宋"/>
          <w:b w:val="0"/>
          <w:bCs w:val="0"/>
          <w:color w:val="333333"/>
          <w:kern w:val="0"/>
          <w:sz w:val="32"/>
          <w:szCs w:val="32"/>
          <w:lang w:val="en-US" w:eastAsia="zh-CN"/>
        </w:rPr>
        <w:t>兴顺街道由党政综合办公室负责政府信息的管理工作，为进一步做好政务公开工作，我街健全了主动公开制度、依申请公开制度及保密审查制度等，进一步明确了信息公开工作责任追究制度，需公开的政府信息经专人修改、定稿，报主管领导审核同意后，方能进行公开。</w:t>
      </w:r>
    </w:p>
    <w:p>
      <w:pPr>
        <w:widowControl/>
        <w:numPr>
          <w:ilvl w:val="0"/>
          <w:numId w:val="1"/>
        </w:numPr>
        <w:spacing w:line="432" w:lineRule="auto"/>
        <w:ind w:firstLine="643" w:firstLineChars="200"/>
        <w:rPr>
          <w:rFonts w:hint="eastAsia" w:ascii="楷体" w:hAnsi="楷体" w:eastAsia="楷体" w:cs="楷体"/>
          <w:b/>
          <w:bCs/>
          <w:color w:val="333333"/>
          <w:kern w:val="0"/>
          <w:sz w:val="32"/>
          <w:szCs w:val="32"/>
          <w:lang w:val="en-US" w:eastAsia="zh-CN"/>
        </w:rPr>
      </w:pPr>
      <w:r>
        <w:rPr>
          <w:rFonts w:hint="eastAsia" w:ascii="楷体" w:hAnsi="楷体" w:eastAsia="楷体" w:cs="楷体"/>
          <w:b/>
          <w:bCs/>
          <w:color w:val="333333"/>
          <w:kern w:val="0"/>
          <w:sz w:val="32"/>
          <w:szCs w:val="32"/>
          <w:lang w:val="en-US" w:eastAsia="zh-CN"/>
        </w:rPr>
        <w:t>政府信息公开平台建设</w:t>
      </w:r>
    </w:p>
    <w:p>
      <w:pPr>
        <w:widowControl/>
        <w:numPr>
          <w:ilvl w:val="0"/>
          <w:numId w:val="0"/>
        </w:numPr>
        <w:spacing w:line="432" w:lineRule="auto"/>
        <w:ind w:firstLine="642"/>
        <w:rPr>
          <w:rFonts w:hint="eastAsia" w:ascii="仿宋" w:hAnsi="仿宋" w:eastAsia="仿宋" w:cs="仿宋"/>
          <w:b w:val="0"/>
          <w:bCs w:val="0"/>
          <w:color w:val="333333"/>
          <w:kern w:val="0"/>
          <w:sz w:val="32"/>
          <w:szCs w:val="32"/>
          <w:lang w:val="en-US" w:eastAsia="zh-CN"/>
        </w:rPr>
      </w:pPr>
      <w:r>
        <w:rPr>
          <w:rFonts w:hint="eastAsia" w:ascii="仿宋" w:hAnsi="仿宋" w:eastAsia="仿宋" w:cs="仿宋"/>
          <w:b w:val="0"/>
          <w:bCs w:val="0"/>
          <w:color w:val="333333"/>
          <w:kern w:val="0"/>
          <w:sz w:val="32"/>
          <w:szCs w:val="32"/>
          <w:lang w:val="en-US" w:eastAsia="zh-CN"/>
        </w:rPr>
        <w:t>兴顺街道积极做好重点领域信息公开工作，注销长期不使用的微信公众号1个；依托街道、社区政务服务中心设置政务公开查询处，做到政务服务事项及时公开、与居民切身利益事项及时公开，方便市民查询信息。</w:t>
      </w:r>
    </w:p>
    <w:p>
      <w:pPr>
        <w:widowControl/>
        <w:numPr>
          <w:ilvl w:val="0"/>
          <w:numId w:val="1"/>
        </w:numPr>
        <w:spacing w:line="432" w:lineRule="auto"/>
        <w:ind w:firstLine="643" w:firstLineChars="200"/>
        <w:rPr>
          <w:rFonts w:hint="default" w:ascii="楷体" w:hAnsi="楷体" w:eastAsia="楷体" w:cs="楷体"/>
          <w:b/>
          <w:bCs/>
          <w:color w:val="333333"/>
          <w:kern w:val="0"/>
          <w:sz w:val="32"/>
          <w:szCs w:val="32"/>
          <w:lang w:val="en-US" w:eastAsia="zh-CN"/>
        </w:rPr>
      </w:pPr>
      <w:r>
        <w:rPr>
          <w:rFonts w:hint="default" w:ascii="楷体" w:hAnsi="楷体" w:eastAsia="楷体" w:cs="楷体"/>
          <w:b/>
          <w:bCs/>
          <w:color w:val="333333"/>
          <w:kern w:val="0"/>
          <w:sz w:val="32"/>
          <w:szCs w:val="32"/>
          <w:lang w:val="en-US" w:eastAsia="zh-CN"/>
        </w:rPr>
        <w:t>监督保障</w:t>
      </w:r>
    </w:p>
    <w:p>
      <w:pPr>
        <w:widowControl/>
        <w:numPr>
          <w:ilvl w:val="0"/>
          <w:numId w:val="0"/>
        </w:numPr>
        <w:spacing w:line="432" w:lineRule="auto"/>
        <w:ind w:firstLine="642"/>
        <w:rPr>
          <w:rFonts w:hint="eastAsia" w:ascii="仿宋" w:hAnsi="仿宋" w:eastAsia="仿宋" w:cs="仿宋"/>
          <w:b w:val="0"/>
          <w:bCs w:val="0"/>
          <w:color w:val="333333"/>
          <w:kern w:val="0"/>
          <w:sz w:val="32"/>
          <w:szCs w:val="32"/>
          <w:lang w:val="en-US" w:eastAsia="zh-CN"/>
        </w:rPr>
      </w:pPr>
      <w:r>
        <w:rPr>
          <w:rFonts w:hint="eastAsia" w:ascii="仿宋" w:hAnsi="仿宋" w:eastAsia="仿宋" w:cs="仿宋"/>
          <w:b w:val="0"/>
          <w:bCs w:val="0"/>
          <w:color w:val="333333"/>
          <w:kern w:val="0"/>
          <w:sz w:val="32"/>
          <w:szCs w:val="32"/>
          <w:lang w:val="en-US" w:eastAsia="zh-CN"/>
        </w:rPr>
        <w:t>由街道监察办牵头，党政办等部门具体负责政务公开的日常监督和组织协调，发现问题，及时纠正，督促整改。能够定期开展政务公开业务学习培训，组织业务骨干学习相关法律法律，牢固掌握业务领域政府信息公开的特点及规律。</w:t>
      </w:r>
    </w:p>
    <w:p>
      <w:pPr>
        <w:widowControl/>
        <w:numPr>
          <w:ilvl w:val="0"/>
          <w:numId w:val="0"/>
        </w:numPr>
        <w:spacing w:line="432" w:lineRule="auto"/>
        <w:ind w:firstLine="642"/>
        <w:rPr>
          <w:rFonts w:hint="eastAsia" w:ascii="仿宋" w:hAnsi="仿宋" w:eastAsia="仿宋" w:cs="仿宋"/>
          <w:b w:val="0"/>
          <w:bCs w:val="0"/>
          <w:color w:val="333333"/>
          <w:kern w:val="0"/>
          <w:sz w:val="32"/>
          <w:szCs w:val="32"/>
          <w:lang w:val="en-US" w:eastAsia="zh-CN"/>
        </w:rPr>
      </w:pPr>
    </w:p>
    <w:p>
      <w:pPr>
        <w:widowControl/>
        <w:numPr>
          <w:ilvl w:val="0"/>
          <w:numId w:val="0"/>
        </w:numPr>
        <w:spacing w:line="432" w:lineRule="auto"/>
        <w:ind w:firstLine="642"/>
        <w:rPr>
          <w:rFonts w:hint="eastAsia" w:ascii="仿宋" w:hAnsi="仿宋" w:eastAsia="仿宋" w:cs="仿宋"/>
          <w:b w:val="0"/>
          <w:bCs w:val="0"/>
          <w:color w:val="333333"/>
          <w:kern w:val="0"/>
          <w:sz w:val="32"/>
          <w:szCs w:val="32"/>
          <w:lang w:val="en-US" w:eastAsia="zh-CN"/>
        </w:rPr>
      </w:pPr>
      <w:r>
        <w:rPr>
          <w:rFonts w:hint="eastAsia" w:ascii="黑体" w:hAnsi="黑体" w:eastAsia="黑体" w:cs="黑体"/>
          <w:b/>
          <w:bCs/>
          <w:color w:val="auto"/>
          <w:kern w:val="0"/>
          <w:sz w:val="32"/>
          <w:szCs w:val="32"/>
          <w:lang w:eastAsia="zh-CN"/>
        </w:rPr>
        <w:t>二、主动公开政府信息情况</w:t>
      </w:r>
    </w:p>
    <w:p>
      <w:pPr>
        <w:widowControl/>
        <w:numPr>
          <w:ilvl w:val="0"/>
          <w:numId w:val="0"/>
        </w:numPr>
        <w:spacing w:line="432" w:lineRule="auto"/>
        <w:ind w:firstLine="642"/>
        <w:rPr>
          <w:rFonts w:hint="eastAsia" w:ascii="仿宋" w:hAnsi="仿宋" w:eastAsia="仿宋" w:cs="仿宋"/>
          <w:b w:val="0"/>
          <w:bCs w:val="0"/>
          <w:color w:val="333333"/>
          <w:kern w:val="0"/>
          <w:sz w:val="32"/>
          <w:szCs w:val="32"/>
          <w:lang w:val="en-US" w:eastAsia="zh-CN"/>
        </w:rPr>
      </w:pPr>
    </w:p>
    <w:p>
      <w:pPr>
        <w:widowControl/>
        <w:numPr>
          <w:ilvl w:val="0"/>
          <w:numId w:val="0"/>
        </w:numPr>
        <w:spacing w:line="432" w:lineRule="auto"/>
        <w:ind w:firstLine="642"/>
        <w:rPr>
          <w:rFonts w:hint="default" w:ascii="楷体" w:hAnsi="楷体" w:eastAsia="楷体" w:cs="楷体"/>
          <w:b/>
          <w:bCs/>
          <w:color w:val="333333"/>
          <w:kern w:val="0"/>
          <w:sz w:val="32"/>
          <w:szCs w:val="32"/>
          <w:lang w:val="en-US" w:eastAsia="zh-CN"/>
        </w:rPr>
      </w:pPr>
    </w:p>
    <w:tbl>
      <w:tblPr>
        <w:tblStyle w:val="8"/>
        <w:tblpPr w:leftFromText="180" w:rightFromText="180" w:vertAnchor="text" w:horzAnchor="page" w:tblpX="2099" w:tblpY="889"/>
        <w:tblOverlap w:val="never"/>
        <w:tblW w:w="8840" w:type="dxa"/>
        <w:tblInd w:w="0" w:type="dxa"/>
        <w:tblLayout w:type="fixed"/>
        <w:tblCellMar>
          <w:top w:w="0" w:type="dxa"/>
          <w:left w:w="108" w:type="dxa"/>
          <w:bottom w:w="0" w:type="dxa"/>
          <w:right w:w="108" w:type="dxa"/>
        </w:tblCellMar>
      </w:tblPr>
      <w:tblGrid>
        <w:gridCol w:w="2814"/>
        <w:gridCol w:w="2018"/>
        <w:gridCol w:w="1962"/>
        <w:gridCol w:w="2046"/>
      </w:tblGrid>
      <w:tr>
        <w:tblPrEx>
          <w:tblCellMar>
            <w:top w:w="0" w:type="dxa"/>
            <w:left w:w="108" w:type="dxa"/>
            <w:bottom w:w="0" w:type="dxa"/>
            <w:right w:w="108" w:type="dxa"/>
          </w:tblCellMar>
        </w:tblPrEx>
        <w:trPr>
          <w:trHeight w:val="521"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第二十条第（一）项</w:t>
            </w:r>
          </w:p>
        </w:tc>
      </w:tr>
      <w:tr>
        <w:tblPrEx>
          <w:tblCellMar>
            <w:top w:w="0" w:type="dxa"/>
            <w:left w:w="108" w:type="dxa"/>
            <w:bottom w:w="0" w:type="dxa"/>
            <w:right w:w="108" w:type="dxa"/>
          </w:tblCellMar>
        </w:tblPrEx>
        <w:trPr>
          <w:trHeight w:val="90"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信息内容</w:t>
            </w:r>
          </w:p>
        </w:tc>
        <w:tc>
          <w:tcPr>
            <w:tcW w:w="2018"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本年</w:t>
            </w:r>
            <w:r>
              <w:rPr>
                <w:rFonts w:hint="eastAsia" w:ascii="宋体" w:hAnsi="宋体" w:eastAsia="宋体" w:cs="宋体"/>
                <w:b/>
                <w:bCs/>
                <w:color w:val="333333"/>
                <w:kern w:val="0"/>
                <w:sz w:val="18"/>
                <w:szCs w:val="18"/>
              </w:rPr>
              <w:t>制发件量</w:t>
            </w:r>
          </w:p>
        </w:tc>
        <w:tc>
          <w:tcPr>
            <w:tcW w:w="196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本年废止件</w:t>
            </w:r>
            <w:r>
              <w:rPr>
                <w:rFonts w:hint="eastAsia" w:ascii="宋体" w:hAnsi="宋体" w:eastAsia="宋体" w:cs="宋体"/>
                <w:b/>
                <w:bCs/>
                <w:color w:val="333333"/>
                <w:kern w:val="0"/>
                <w:sz w:val="18"/>
                <w:szCs w:val="18"/>
              </w:rPr>
              <w:t>数</w:t>
            </w:r>
          </w:p>
        </w:tc>
        <w:tc>
          <w:tcPr>
            <w:tcW w:w="2046"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现行有效件数</w:t>
            </w:r>
          </w:p>
        </w:tc>
      </w:tr>
      <w:tr>
        <w:tblPrEx>
          <w:tblCellMar>
            <w:top w:w="0" w:type="dxa"/>
            <w:left w:w="108" w:type="dxa"/>
            <w:bottom w:w="0" w:type="dxa"/>
            <w:right w:w="108" w:type="dxa"/>
          </w:tblCellMar>
        </w:tblPrEx>
        <w:trPr>
          <w:trHeight w:val="599"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规章</w:t>
            </w:r>
          </w:p>
        </w:tc>
        <w:tc>
          <w:tcPr>
            <w:tcW w:w="2018"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default"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196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000000"/>
                <w:kern w:val="0"/>
                <w:sz w:val="18"/>
                <w:szCs w:val="18"/>
                <w:lang w:val="en-US" w:eastAsia="zh-CN"/>
              </w:rPr>
              <w:t>0</w:t>
            </w:r>
          </w:p>
        </w:tc>
        <w:tc>
          <w:tcPr>
            <w:tcW w:w="2046"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000000"/>
                <w:kern w:val="0"/>
                <w:sz w:val="18"/>
                <w:szCs w:val="18"/>
                <w:lang w:val="en-US" w:eastAsia="zh-CN"/>
              </w:rPr>
              <w:t>0</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规范性文件</w:t>
            </w:r>
          </w:p>
        </w:tc>
        <w:tc>
          <w:tcPr>
            <w:tcW w:w="2018"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1962" w:type="dxa"/>
            <w:tcBorders>
              <w:top w:val="nil"/>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000000"/>
                <w:kern w:val="0"/>
                <w:sz w:val="18"/>
                <w:szCs w:val="18"/>
                <w:lang w:val="en-US" w:eastAsia="zh-CN"/>
              </w:rPr>
              <w:t>0</w:t>
            </w:r>
          </w:p>
        </w:tc>
        <w:tc>
          <w:tcPr>
            <w:tcW w:w="2046"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CellMar>
            <w:top w:w="0" w:type="dxa"/>
            <w:left w:w="108" w:type="dxa"/>
            <w:bottom w:w="0" w:type="dxa"/>
            <w:right w:w="108" w:type="dxa"/>
          </w:tblCellMar>
        </w:tblPrEx>
        <w:trPr>
          <w:trHeight w:val="617"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第二十条第（五）项</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信息内容</w:t>
            </w:r>
          </w:p>
        </w:tc>
        <w:tc>
          <w:tcPr>
            <w:tcW w:w="6026" w:type="dxa"/>
            <w:gridSpan w:val="3"/>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kern w:val="0"/>
                <w:sz w:val="18"/>
                <w:szCs w:val="18"/>
              </w:rPr>
              <w:t>本年处理决定数量</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行政许可</w:t>
            </w:r>
          </w:p>
        </w:tc>
        <w:tc>
          <w:tcPr>
            <w:tcW w:w="6026" w:type="dxa"/>
            <w:gridSpan w:val="3"/>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CellMar>
            <w:top w:w="0" w:type="dxa"/>
            <w:left w:w="108" w:type="dxa"/>
            <w:bottom w:w="0" w:type="dxa"/>
            <w:right w:w="108" w:type="dxa"/>
          </w:tblCellMar>
        </w:tblPrEx>
        <w:trPr>
          <w:trHeight w:val="658"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第二十条第（六）项</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信息内容</w:t>
            </w:r>
          </w:p>
        </w:tc>
        <w:tc>
          <w:tcPr>
            <w:tcW w:w="6026" w:type="dxa"/>
            <w:gridSpan w:val="3"/>
            <w:tcBorders>
              <w:top w:val="single" w:color="auto" w:sz="4" w:space="0"/>
              <w:left w:val="nil"/>
              <w:bottom w:val="single" w:color="auto" w:sz="4" w:space="0"/>
              <w:right w:val="single" w:color="auto" w:sz="4" w:space="0"/>
            </w:tcBorders>
            <w:noWrap/>
            <w:vAlign w:val="center"/>
          </w:tcPr>
          <w:p>
            <w:pPr>
              <w:widowControl/>
              <w:tabs>
                <w:tab w:val="center" w:pos="2965"/>
                <w:tab w:val="left" w:pos="4092"/>
              </w:tabs>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kern w:val="0"/>
                <w:sz w:val="18"/>
                <w:szCs w:val="18"/>
              </w:rPr>
              <w:t>本年处理决定数量</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行政处罚</w:t>
            </w:r>
          </w:p>
        </w:tc>
        <w:tc>
          <w:tcPr>
            <w:tcW w:w="6026" w:type="dxa"/>
            <w:gridSpan w:val="3"/>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CellMar>
            <w:top w:w="0" w:type="dxa"/>
            <w:left w:w="108" w:type="dxa"/>
            <w:bottom w:w="0" w:type="dxa"/>
            <w:right w:w="108" w:type="dxa"/>
          </w:tblCellMar>
        </w:tblPrEx>
        <w:trPr>
          <w:trHeight w:val="681"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行政强制</w:t>
            </w:r>
          </w:p>
        </w:tc>
        <w:tc>
          <w:tcPr>
            <w:tcW w:w="6026" w:type="dxa"/>
            <w:gridSpan w:val="3"/>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CellMar>
            <w:top w:w="0" w:type="dxa"/>
            <w:left w:w="108" w:type="dxa"/>
            <w:bottom w:w="0" w:type="dxa"/>
            <w:right w:w="108" w:type="dxa"/>
          </w:tblCellMar>
        </w:tblPrEx>
        <w:trPr>
          <w:trHeight w:val="603"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第二十条第（八）项</w:t>
            </w:r>
          </w:p>
        </w:tc>
      </w:tr>
      <w:tr>
        <w:tblPrEx>
          <w:tblCellMar>
            <w:top w:w="0" w:type="dxa"/>
            <w:left w:w="108" w:type="dxa"/>
            <w:bottom w:w="0" w:type="dxa"/>
            <w:right w:w="108" w:type="dxa"/>
          </w:tblCellMar>
        </w:tblPrEx>
        <w:trPr>
          <w:trHeight w:val="754"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信息内容</w:t>
            </w:r>
          </w:p>
        </w:tc>
        <w:tc>
          <w:tcPr>
            <w:tcW w:w="6026" w:type="dxa"/>
            <w:gridSpan w:val="3"/>
            <w:tcBorders>
              <w:top w:val="nil"/>
              <w:left w:val="nil"/>
              <w:bottom w:val="single" w:color="auto" w:sz="4" w:space="0"/>
              <w:right w:val="single" w:color="000000"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kern w:val="0"/>
                <w:sz w:val="18"/>
                <w:szCs w:val="18"/>
              </w:rPr>
              <w:t>本年收费金额（单位：万元）</w:t>
            </w:r>
          </w:p>
        </w:tc>
      </w:tr>
      <w:tr>
        <w:tblPrEx>
          <w:tblCellMar>
            <w:top w:w="0" w:type="dxa"/>
            <w:left w:w="108" w:type="dxa"/>
            <w:bottom w:w="0" w:type="dxa"/>
            <w:right w:w="108" w:type="dxa"/>
          </w:tblCellMar>
        </w:tblPrEx>
        <w:trPr>
          <w:trHeight w:val="669"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行政事业性收费</w:t>
            </w:r>
          </w:p>
        </w:tc>
        <w:tc>
          <w:tcPr>
            <w:tcW w:w="6026" w:type="dxa"/>
            <w:gridSpan w:val="3"/>
            <w:tcBorders>
              <w:top w:val="nil"/>
              <w:left w:val="nil"/>
              <w:bottom w:val="single" w:color="auto" w:sz="4" w:space="0"/>
              <w:right w:val="single" w:color="000000"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000000"/>
                <w:kern w:val="0"/>
                <w:sz w:val="18"/>
                <w:szCs w:val="18"/>
                <w:lang w:val="en-US" w:eastAsia="zh-CN"/>
              </w:rPr>
              <w:t>0</w:t>
            </w:r>
          </w:p>
        </w:tc>
      </w:tr>
    </w:tbl>
    <w:p>
      <w:pPr>
        <w:widowControl/>
        <w:numPr>
          <w:ilvl w:val="0"/>
          <w:numId w:val="0"/>
        </w:numPr>
        <w:spacing w:line="432" w:lineRule="auto"/>
        <w:rPr>
          <w:rFonts w:hint="eastAsia" w:ascii="黑体" w:hAnsi="黑体" w:eastAsia="黑体" w:cs="黑体"/>
          <w:b/>
          <w:bCs/>
          <w:color w:val="333333"/>
          <w:kern w:val="0"/>
          <w:sz w:val="32"/>
          <w:szCs w:val="32"/>
          <w:lang w:eastAsia="zh-CN"/>
        </w:rPr>
      </w:pPr>
    </w:p>
    <w:p>
      <w:pPr>
        <w:widowControl/>
        <w:numPr>
          <w:ilvl w:val="0"/>
          <w:numId w:val="0"/>
        </w:numPr>
        <w:spacing w:line="432" w:lineRule="auto"/>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lang w:eastAsia="zh-CN"/>
        </w:rPr>
        <w:t>三、收到和处理政府信息公开申请情况</w:t>
      </w:r>
    </w:p>
    <w:tbl>
      <w:tblPr>
        <w:tblStyle w:val="8"/>
        <w:tblpPr w:leftFromText="180" w:rightFromText="180" w:vertAnchor="text" w:horzAnchor="page" w:tblpX="1590" w:tblpY="778"/>
        <w:tblOverlap w:val="never"/>
        <w:tblW w:w="8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0"/>
        <w:gridCol w:w="819"/>
        <w:gridCol w:w="2069"/>
        <w:gridCol w:w="800"/>
        <w:gridCol w:w="741"/>
        <w:gridCol w:w="741"/>
        <w:gridCol w:w="800"/>
        <w:gridCol w:w="959"/>
        <w:gridCol w:w="702"/>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337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（本列数据的勾稽关系为：第一项加第二项之和，等于第三项加第四项之和）</w:t>
            </w:r>
          </w:p>
        </w:tc>
        <w:tc>
          <w:tcPr>
            <w:tcW w:w="5424" w:type="dxa"/>
            <w:gridSpan w:val="7"/>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37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00"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自然人</w:t>
            </w:r>
          </w:p>
        </w:tc>
        <w:tc>
          <w:tcPr>
            <w:tcW w:w="3943"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法人或其他组织</w:t>
            </w:r>
          </w:p>
        </w:tc>
        <w:tc>
          <w:tcPr>
            <w:tcW w:w="681"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337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00" w:type="dxa"/>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商业企业</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科研机构</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社会公益组织</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法律服务机构</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其他</w:t>
            </w:r>
          </w:p>
        </w:tc>
        <w:tc>
          <w:tcPr>
            <w:tcW w:w="681"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375"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一、本年新收政府信息公开申请数量</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375"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二、上年结转政府信息公开申请数量</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三、本年度办理结果</w:t>
            </w:r>
          </w:p>
        </w:tc>
        <w:tc>
          <w:tcPr>
            <w:tcW w:w="2898"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（一）予以公开</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898"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（二）部分公开（区分处理的，只计这一情形，不计其他情形）</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（三）不予公开</w:t>
            </w: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1.属于国家秘密</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2.其他法律行政法规禁止公开</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3.危及“三安全一稳定”</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4.保护第三方合法权益</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5.属于三类内部事务信息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6.属于四类过程性信息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7.属于行政执法案卷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8.属于行政查询事项</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（四）无法提供</w:t>
            </w: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1.本机关不掌握相关政府信息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2.没有现成信息需要另行制作</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3.补正后申请内容仍不明确</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（五）不予处理</w:t>
            </w: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1.信访举报投诉类申请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2.重复申请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3.要求提供公开出版物</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4.无正当理由大量反复申请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5.要求行政机关确认或重新出具已获取信息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restart"/>
            <w:tcBorders>
              <w:top w:val="single" w:color="auto" w:sz="4" w:space="0"/>
              <w:left w:val="nil"/>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（六）其他处理</w:t>
            </w:r>
          </w:p>
        </w:tc>
        <w:tc>
          <w:tcPr>
            <w:tcW w:w="206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r>
              <w:rPr>
                <w:rFonts w:hint="eastAsia" w:ascii="宋体" w:hAnsi="宋体" w:eastAsia="宋体" w:cs="宋体"/>
                <w:b/>
                <w:bCs/>
                <w:color w:val="333333"/>
                <w:sz w:val="18"/>
                <w:szCs w:val="18"/>
              </w:rPr>
              <w:t>1.申请人无正当理由逾期不补正、行政机关不再处理</w:t>
            </w:r>
            <w:r>
              <w:rPr>
                <w:rFonts w:hint="eastAsia" w:ascii="宋体" w:hAnsi="宋体" w:cs="宋体"/>
                <w:b/>
                <w:bCs/>
                <w:color w:val="333333"/>
                <w:sz w:val="18"/>
                <w:szCs w:val="18"/>
                <w:lang w:eastAsia="zh-CN"/>
              </w:rPr>
              <w:t>其</w:t>
            </w:r>
            <w:r>
              <w:rPr>
                <w:rFonts w:hint="eastAsia" w:ascii="宋体" w:hAnsi="宋体" w:eastAsia="宋体" w:cs="宋体"/>
                <w:b/>
                <w:bCs/>
                <w:color w:val="333333"/>
                <w:sz w:val="18"/>
                <w:szCs w:val="18"/>
              </w:rPr>
              <w:t>政府信息公开申请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r>
              <w:rPr>
                <w:rFonts w:hint="eastAsia" w:ascii="宋体" w:hAnsi="宋体" w:eastAsia="宋体" w:cs="宋体"/>
                <w:b/>
                <w:bCs/>
                <w:color w:val="333333"/>
                <w:sz w:val="18"/>
                <w:szCs w:val="18"/>
              </w:rPr>
              <w:t>2.申请人逾期未按收费通知要求缴纳费用、行政机关不再处理其政府信息公开申请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48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r>
              <w:rPr>
                <w:rFonts w:hint="eastAsia" w:ascii="宋体" w:hAnsi="宋体" w:eastAsia="宋体" w:cs="宋体"/>
                <w:b/>
                <w:bCs/>
                <w:color w:val="333333"/>
                <w:sz w:val="18"/>
                <w:szCs w:val="18"/>
              </w:rPr>
              <w:t>3.其他</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lang w:val="en-US" w:eastAsia="zh-CN"/>
              </w:rPr>
            </w:pP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48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p>
        </w:tc>
        <w:tc>
          <w:tcPr>
            <w:tcW w:w="2888"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（七）总计</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375"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四、结转下年度继续办理</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bl>
    <w:p>
      <w:pPr>
        <w:widowControl/>
        <w:numPr>
          <w:ilvl w:val="0"/>
          <w:numId w:val="2"/>
        </w:numPr>
        <w:spacing w:line="432" w:lineRule="auto"/>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lang w:eastAsia="zh-CN"/>
        </w:rPr>
        <w:t>政府信息公开行政复议、行政诉讼情况</w:t>
      </w:r>
    </w:p>
    <w:tbl>
      <w:tblPr>
        <w:tblStyle w:val="8"/>
        <w:tblpPr w:leftFromText="180" w:rightFromText="180" w:vertAnchor="text" w:horzAnchor="page" w:tblpX="1650" w:tblpY="417"/>
        <w:tblOverlap w:val="never"/>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583"/>
        <w:gridCol w:w="583"/>
        <w:gridCol w:w="583"/>
        <w:gridCol w:w="642"/>
        <w:gridCol w:w="531"/>
        <w:gridCol w:w="584"/>
        <w:gridCol w:w="584"/>
        <w:gridCol w:w="584"/>
        <w:gridCol w:w="591"/>
        <w:gridCol w:w="584"/>
        <w:gridCol w:w="584"/>
        <w:gridCol w:w="584"/>
        <w:gridCol w:w="585"/>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974"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行政复议</w:t>
            </w:r>
          </w:p>
        </w:tc>
        <w:tc>
          <w:tcPr>
            <w:tcW w:w="5805"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83"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结果维持</w:t>
            </w:r>
          </w:p>
        </w:tc>
        <w:tc>
          <w:tcPr>
            <w:tcW w:w="583"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结果纠正</w:t>
            </w:r>
          </w:p>
        </w:tc>
        <w:tc>
          <w:tcPr>
            <w:tcW w:w="583"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其他结果</w:t>
            </w:r>
          </w:p>
        </w:tc>
        <w:tc>
          <w:tcPr>
            <w:tcW w:w="583"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尚未审结</w:t>
            </w:r>
          </w:p>
        </w:tc>
        <w:tc>
          <w:tcPr>
            <w:tcW w:w="642"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总计</w:t>
            </w:r>
          </w:p>
        </w:tc>
        <w:tc>
          <w:tcPr>
            <w:tcW w:w="2874"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未经复议直接起诉</w:t>
            </w:r>
          </w:p>
        </w:tc>
        <w:tc>
          <w:tcPr>
            <w:tcW w:w="2931"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583"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583" w:type="dxa"/>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583"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583"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642"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结果维持</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结果纠正</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其他结果</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尚未审结</w:t>
            </w:r>
          </w:p>
        </w:tc>
        <w:tc>
          <w:tcPr>
            <w:tcW w:w="59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总计</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结果维持</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结果纠正</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其他结果</w:t>
            </w:r>
          </w:p>
        </w:tc>
        <w:tc>
          <w:tcPr>
            <w:tcW w:w="58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尚未审结</w:t>
            </w:r>
          </w:p>
        </w:tc>
        <w:tc>
          <w:tcPr>
            <w:tcW w:w="59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58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 </w:t>
            </w:r>
            <w:r>
              <w:rPr>
                <w:rFonts w:hint="eastAsia" w:ascii="宋体" w:hAnsi="宋体" w:cs="宋体"/>
                <w:b/>
                <w:bCs/>
                <w:color w:val="333333"/>
                <w:kern w:val="0"/>
                <w:sz w:val="18"/>
                <w:szCs w:val="18"/>
                <w:lang w:val="en-US" w:eastAsia="zh-CN"/>
              </w:rPr>
              <w:t>0</w:t>
            </w:r>
          </w:p>
        </w:tc>
        <w:tc>
          <w:tcPr>
            <w:tcW w:w="58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8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8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4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3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9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8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9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bl>
    <w:p>
      <w:pPr>
        <w:widowControl/>
        <w:numPr>
          <w:ilvl w:val="0"/>
          <w:numId w:val="0"/>
        </w:numPr>
        <w:spacing w:line="432" w:lineRule="auto"/>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lang w:eastAsia="zh-CN"/>
        </w:rPr>
        <w:t>五、</w:t>
      </w:r>
      <w:r>
        <w:rPr>
          <w:rFonts w:hint="eastAsia" w:ascii="黑体" w:hAnsi="黑体" w:eastAsia="黑体" w:cs="黑体"/>
          <w:b/>
          <w:bCs/>
          <w:color w:val="333333"/>
          <w:kern w:val="0"/>
          <w:sz w:val="32"/>
          <w:szCs w:val="32"/>
        </w:rPr>
        <w:t>存在的主要问题及改进情况</w:t>
      </w:r>
    </w:p>
    <w:p>
      <w:pPr>
        <w:widowControl/>
        <w:spacing w:line="432" w:lineRule="auto"/>
        <w:ind w:firstLine="640" w:firstLineChars="200"/>
        <w:rPr>
          <w:rFonts w:hint="eastAsia" w:ascii="仿宋" w:hAnsi="仿宋" w:eastAsia="仿宋" w:cs="仿宋"/>
          <w:b w:val="0"/>
          <w:bCs w:val="0"/>
          <w:color w:val="333333"/>
          <w:kern w:val="0"/>
          <w:sz w:val="32"/>
          <w:szCs w:val="32"/>
          <w:lang w:eastAsia="zh-CN"/>
        </w:rPr>
      </w:pPr>
      <w:r>
        <w:rPr>
          <w:rFonts w:hint="eastAsia" w:ascii="仿宋" w:hAnsi="仿宋" w:eastAsia="仿宋" w:cs="仿宋"/>
          <w:b w:val="0"/>
          <w:bCs w:val="0"/>
          <w:color w:val="333333"/>
          <w:kern w:val="0"/>
          <w:sz w:val="32"/>
          <w:szCs w:val="32"/>
          <w:lang w:eastAsia="zh-CN"/>
        </w:rPr>
        <w:t>2021年街道政府信息公开工作取得了一定成效，但是仍然需改进创新。一是信息公开工作人员的专业能力不够强；二是政务公开工作公开的形式不够丰富；在2022年的工作中我街将把以上存在的问题作为政务公开工作的重点内容加以整改。</w:t>
      </w:r>
    </w:p>
    <w:p>
      <w:pPr>
        <w:widowControl/>
        <w:spacing w:line="432" w:lineRule="auto"/>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Style w:val="10"/>
          <w:rFonts w:hint="eastAsia" w:ascii="仿宋" w:hAnsi="仿宋" w:eastAsia="仿宋" w:cs="仿宋"/>
          <w:b w:val="0"/>
          <w:bCs w:val="0"/>
          <w:i w:val="0"/>
          <w:iCs w:val="0"/>
          <w:color w:val="333333"/>
          <w:sz w:val="32"/>
          <w:szCs w:val="32"/>
          <w:lang w:val="en-US" w:eastAsia="zh-CN"/>
        </w:rPr>
      </w:pPr>
      <w:r>
        <w:rPr>
          <w:rFonts w:hint="eastAsia" w:ascii="仿宋" w:hAnsi="仿宋" w:eastAsia="仿宋" w:cs="仿宋"/>
          <w:b w:val="0"/>
          <w:bCs w:val="0"/>
          <w:color w:val="333333"/>
          <w:kern w:val="0"/>
          <w:sz w:val="32"/>
          <w:szCs w:val="32"/>
          <w:lang w:val="en-US" w:eastAsia="zh-CN"/>
        </w:rPr>
        <w:t>2021年我单位暂无其他需要报告的事项。</w:t>
      </w:r>
    </w:p>
    <w:p>
      <w:pPr>
        <w:keepNext w:val="0"/>
        <w:keepLines w:val="0"/>
        <w:pageBreakBefore w:val="0"/>
        <w:widowControl w:val="0"/>
        <w:kinsoku/>
        <w:wordWrap/>
        <w:overflowPunct/>
        <w:topLinePunct w:val="0"/>
        <w:autoSpaceDE/>
        <w:autoSpaceDN/>
        <w:bidi w:val="0"/>
        <w:adjustRightInd/>
        <w:snapToGrid/>
        <w:spacing w:line="240" w:lineRule="auto"/>
        <w:ind w:firstLine="4480" w:firstLineChars="1400"/>
        <w:textAlignment w:val="auto"/>
        <w:rPr>
          <w:rStyle w:val="10"/>
          <w:rFonts w:hint="eastAsia" w:ascii="仿宋" w:hAnsi="仿宋" w:eastAsia="仿宋" w:cs="仿宋"/>
          <w:b w:val="0"/>
          <w:bCs w:val="0"/>
          <w:i w:val="0"/>
          <w:iCs w:val="0"/>
          <w:color w:val="33333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480" w:firstLineChars="1400"/>
        <w:textAlignment w:val="auto"/>
        <w:rPr>
          <w:rStyle w:val="10"/>
          <w:rFonts w:hint="eastAsia" w:ascii="仿宋" w:hAnsi="仿宋" w:eastAsia="仿宋" w:cs="仿宋"/>
          <w:b w:val="0"/>
          <w:bCs w:val="0"/>
          <w:i w:val="0"/>
          <w:iCs w:val="0"/>
          <w:color w:val="33333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480" w:firstLineChars="1400"/>
        <w:textAlignment w:val="auto"/>
        <w:rPr>
          <w:rStyle w:val="10"/>
          <w:rFonts w:hint="eastAsia" w:ascii="仿宋" w:hAnsi="仿宋" w:eastAsia="仿宋" w:cs="仿宋"/>
          <w:b w:val="0"/>
          <w:bCs w:val="0"/>
          <w:i w:val="0"/>
          <w:iCs w:val="0"/>
          <w:color w:val="33333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120" w:firstLineChars="1600"/>
        <w:textAlignment w:val="auto"/>
        <w:rPr>
          <w:rStyle w:val="10"/>
          <w:rFonts w:hint="eastAsia" w:ascii="仿宋" w:hAnsi="仿宋" w:eastAsia="仿宋" w:cs="仿宋"/>
          <w:b w:val="0"/>
          <w:bCs w:val="0"/>
          <w:i w:val="0"/>
          <w:iCs w:val="0"/>
          <w:color w:val="333333"/>
          <w:sz w:val="32"/>
          <w:szCs w:val="32"/>
          <w:lang w:val="en-US" w:eastAsia="zh-CN"/>
        </w:rPr>
      </w:pPr>
      <w:r>
        <w:rPr>
          <w:rStyle w:val="10"/>
          <w:rFonts w:hint="eastAsia" w:ascii="仿宋" w:hAnsi="仿宋" w:eastAsia="仿宋" w:cs="仿宋"/>
          <w:b w:val="0"/>
          <w:bCs w:val="0"/>
          <w:i w:val="0"/>
          <w:iCs w:val="0"/>
          <w:color w:val="333333"/>
          <w:sz w:val="32"/>
          <w:szCs w:val="32"/>
          <w:lang w:val="en-US" w:eastAsia="zh-CN"/>
        </w:rPr>
        <w:t>铁西区兴顺街道办事处</w:t>
      </w:r>
    </w:p>
    <w:p>
      <w:pPr>
        <w:keepNext w:val="0"/>
        <w:keepLines w:val="0"/>
        <w:pageBreakBefore w:val="0"/>
        <w:widowControl w:val="0"/>
        <w:kinsoku/>
        <w:wordWrap/>
        <w:overflowPunct/>
        <w:topLinePunct w:val="0"/>
        <w:autoSpaceDE/>
        <w:autoSpaceDN/>
        <w:bidi w:val="0"/>
        <w:adjustRightInd/>
        <w:snapToGrid/>
        <w:spacing w:line="240" w:lineRule="auto"/>
        <w:ind w:firstLine="5440" w:firstLineChars="1700"/>
        <w:textAlignment w:val="auto"/>
        <w:rPr>
          <w:rStyle w:val="10"/>
          <w:rFonts w:hint="eastAsia" w:ascii="仿宋" w:hAnsi="仿宋" w:eastAsia="仿宋" w:cs="仿宋"/>
          <w:b w:val="0"/>
          <w:bCs w:val="0"/>
          <w:i w:val="0"/>
          <w:iCs w:val="0"/>
          <w:color w:val="333333"/>
          <w:sz w:val="32"/>
          <w:szCs w:val="32"/>
          <w:lang w:val="en-US" w:eastAsia="zh-CN"/>
        </w:rPr>
      </w:pPr>
      <w:r>
        <w:rPr>
          <w:rStyle w:val="10"/>
          <w:rFonts w:hint="eastAsia" w:ascii="仿宋" w:hAnsi="仿宋" w:eastAsia="仿宋" w:cs="仿宋"/>
          <w:b w:val="0"/>
          <w:bCs w:val="0"/>
          <w:i w:val="0"/>
          <w:iCs w:val="0"/>
          <w:color w:val="333333"/>
          <w:sz w:val="32"/>
          <w:szCs w:val="32"/>
          <w:lang w:val="en-US" w:eastAsia="zh-CN"/>
        </w:rPr>
        <w:t>2022年1月11日</w:t>
      </w:r>
    </w:p>
    <w:p>
      <w:pPr>
        <w:spacing w:line="640" w:lineRule="exact"/>
        <w:ind w:firstLine="4800" w:firstLineChars="1500"/>
        <w:rPr>
          <w:rStyle w:val="10"/>
          <w:rFonts w:hint="default" w:ascii="仿宋" w:hAnsi="仿宋" w:eastAsia="仿宋" w:cs="仿宋"/>
          <w:b w:val="0"/>
          <w:bCs w:val="0"/>
          <w:i w:val="0"/>
          <w:iCs w:val="0"/>
          <w:color w:val="333333"/>
          <w:sz w:val="32"/>
          <w:szCs w:val="32"/>
          <w:lang w:val="en-US" w:eastAsia="zh-CN"/>
        </w:rPr>
      </w:pPr>
    </w:p>
    <w:sectPr>
      <w:headerReference r:id="rId4" w:type="first"/>
      <w:footerReference r:id="rId7" w:type="first"/>
      <w:footerReference r:id="rId5" w:type="default"/>
      <w:headerReference r:id="rId3" w:type="even"/>
      <w:footerReference r:id="rId6" w:type="even"/>
      <w:pgSz w:w="11906" w:h="16838"/>
      <w:pgMar w:top="1701" w:right="141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31894"/>
    </w:sdtPr>
    <w:sdtContent>
      <w:p>
        <w:pPr>
          <w:pStyle w:val="5"/>
          <w:jc w:val="right"/>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1 -</w:t>
        </w:r>
        <w:r>
          <w:rPr>
            <w:sz w:val="24"/>
            <w:szCs w:val="24"/>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9961E"/>
    <w:multiLevelType w:val="singleLevel"/>
    <w:tmpl w:val="8A79961E"/>
    <w:lvl w:ilvl="0" w:tentative="0">
      <w:start w:val="4"/>
      <w:numFmt w:val="chineseCounting"/>
      <w:suff w:val="nothing"/>
      <w:lvlText w:val="%1、"/>
      <w:lvlJc w:val="left"/>
      <w:rPr>
        <w:rFonts w:hint="eastAsia"/>
      </w:rPr>
    </w:lvl>
  </w:abstractNum>
  <w:abstractNum w:abstractNumId="1">
    <w:nsid w:val="E163FAE4"/>
    <w:multiLevelType w:val="singleLevel"/>
    <w:tmpl w:val="E163FAE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AB"/>
    <w:rsid w:val="00010114"/>
    <w:rsid w:val="00077B17"/>
    <w:rsid w:val="00091A4B"/>
    <w:rsid w:val="000C5945"/>
    <w:rsid w:val="0011519C"/>
    <w:rsid w:val="00154D31"/>
    <w:rsid w:val="0018758F"/>
    <w:rsid w:val="00196E24"/>
    <w:rsid w:val="002346AA"/>
    <w:rsid w:val="00236465"/>
    <w:rsid w:val="002A2C43"/>
    <w:rsid w:val="002C2629"/>
    <w:rsid w:val="002E60D8"/>
    <w:rsid w:val="00363500"/>
    <w:rsid w:val="003703C9"/>
    <w:rsid w:val="0038094B"/>
    <w:rsid w:val="003D13B3"/>
    <w:rsid w:val="004127E8"/>
    <w:rsid w:val="004E7E06"/>
    <w:rsid w:val="005074C7"/>
    <w:rsid w:val="005318E1"/>
    <w:rsid w:val="00566FEA"/>
    <w:rsid w:val="00614C5C"/>
    <w:rsid w:val="00665AE2"/>
    <w:rsid w:val="00674005"/>
    <w:rsid w:val="006F3E39"/>
    <w:rsid w:val="0073762B"/>
    <w:rsid w:val="00765852"/>
    <w:rsid w:val="007A4968"/>
    <w:rsid w:val="007B585A"/>
    <w:rsid w:val="008C75D7"/>
    <w:rsid w:val="0090038A"/>
    <w:rsid w:val="00904D82"/>
    <w:rsid w:val="00920540"/>
    <w:rsid w:val="0094652D"/>
    <w:rsid w:val="009A4F32"/>
    <w:rsid w:val="00A13922"/>
    <w:rsid w:val="00A619AB"/>
    <w:rsid w:val="00A72FD9"/>
    <w:rsid w:val="00A74841"/>
    <w:rsid w:val="00B7658F"/>
    <w:rsid w:val="00B9554D"/>
    <w:rsid w:val="00BA3A89"/>
    <w:rsid w:val="00BB7077"/>
    <w:rsid w:val="00C2282B"/>
    <w:rsid w:val="00CA1DCC"/>
    <w:rsid w:val="00D143AE"/>
    <w:rsid w:val="00D41B11"/>
    <w:rsid w:val="00D63423"/>
    <w:rsid w:val="00DA40FD"/>
    <w:rsid w:val="00DC6208"/>
    <w:rsid w:val="00DF5B99"/>
    <w:rsid w:val="00EF7248"/>
    <w:rsid w:val="00F41156"/>
    <w:rsid w:val="019C15D0"/>
    <w:rsid w:val="04231A24"/>
    <w:rsid w:val="05C1368A"/>
    <w:rsid w:val="06855F71"/>
    <w:rsid w:val="07BE007D"/>
    <w:rsid w:val="09783F4A"/>
    <w:rsid w:val="0C9B098C"/>
    <w:rsid w:val="0D1E35E0"/>
    <w:rsid w:val="0E29681B"/>
    <w:rsid w:val="0EB278E4"/>
    <w:rsid w:val="0F187EF4"/>
    <w:rsid w:val="11B61EFA"/>
    <w:rsid w:val="1A140A02"/>
    <w:rsid w:val="1B594660"/>
    <w:rsid w:val="1D7E5E8C"/>
    <w:rsid w:val="285B4637"/>
    <w:rsid w:val="298649E0"/>
    <w:rsid w:val="298C21B3"/>
    <w:rsid w:val="2A1F33BB"/>
    <w:rsid w:val="2E0F48DF"/>
    <w:rsid w:val="2F685EAB"/>
    <w:rsid w:val="2FFC3BCF"/>
    <w:rsid w:val="30BA4FD6"/>
    <w:rsid w:val="31EA2B99"/>
    <w:rsid w:val="358E07DF"/>
    <w:rsid w:val="38E2406F"/>
    <w:rsid w:val="3B3140E6"/>
    <w:rsid w:val="3CBF4365"/>
    <w:rsid w:val="3F0E694A"/>
    <w:rsid w:val="436116D1"/>
    <w:rsid w:val="45102FBE"/>
    <w:rsid w:val="4595651C"/>
    <w:rsid w:val="46627EC4"/>
    <w:rsid w:val="47F35197"/>
    <w:rsid w:val="483E06A7"/>
    <w:rsid w:val="49D7279F"/>
    <w:rsid w:val="4B9C37FE"/>
    <w:rsid w:val="51CF14F1"/>
    <w:rsid w:val="548153DE"/>
    <w:rsid w:val="54AB4ABB"/>
    <w:rsid w:val="571E77BD"/>
    <w:rsid w:val="59442F30"/>
    <w:rsid w:val="619B0653"/>
    <w:rsid w:val="63697DBC"/>
    <w:rsid w:val="65EC4776"/>
    <w:rsid w:val="67DB640D"/>
    <w:rsid w:val="68893325"/>
    <w:rsid w:val="689C6793"/>
    <w:rsid w:val="68AF64C7"/>
    <w:rsid w:val="6CA72958"/>
    <w:rsid w:val="6EA2087C"/>
    <w:rsid w:val="720C287E"/>
    <w:rsid w:val="74354CD8"/>
    <w:rsid w:val="760F67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paragraph" w:styleId="2">
    <w:name w:val="heading 2"/>
    <w:basedOn w:val="1"/>
    <w:next w:val="1"/>
    <w:link w:val="12"/>
    <w:qFormat/>
    <w:uiPriority w:val="0"/>
    <w:pPr>
      <w:spacing w:before="100" w:beforeAutospacing="1" w:after="100" w:afterAutospacing="1"/>
      <w:jc w:val="left"/>
      <w:outlineLvl w:val="1"/>
    </w:pPr>
    <w:rPr>
      <w:rFonts w:hint="eastAsia" w:ascii="宋体" w:hAnsi="宋体" w:cs="Times New Roman"/>
      <w:b/>
      <w:kern w:val="0"/>
      <w:sz w:val="36"/>
      <w:szCs w:val="36"/>
    </w:rPr>
  </w:style>
  <w:style w:type="paragraph" w:styleId="3">
    <w:name w:val="heading 3"/>
    <w:basedOn w:val="1"/>
    <w:next w:val="1"/>
    <w:link w:val="11"/>
    <w:semiHidden/>
    <w:unhideWhenUsed/>
    <w:qFormat/>
    <w:uiPriority w:val="0"/>
    <w:pPr>
      <w:keepNext/>
      <w:keepLines/>
      <w:spacing w:before="260" w:after="260" w:line="416" w:lineRule="auto"/>
      <w:outlineLvl w:val="2"/>
    </w:pPr>
    <w:rPr>
      <w:rFonts w:cs="Times New Roman"/>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6"/>
      <w:szCs w:val="16"/>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Emphasis"/>
    <w:basedOn w:val="9"/>
    <w:qFormat/>
    <w:uiPriority w:val="20"/>
    <w:rPr>
      <w:i/>
      <w:iCs/>
    </w:rPr>
  </w:style>
  <w:style w:type="character" w:customStyle="1" w:styleId="11">
    <w:name w:val="标题 3 字符"/>
    <w:basedOn w:val="9"/>
    <w:link w:val="3"/>
    <w:semiHidden/>
    <w:qFormat/>
    <w:uiPriority w:val="0"/>
    <w:rPr>
      <w:b/>
      <w:bCs/>
      <w:kern w:val="2"/>
      <w:sz w:val="32"/>
      <w:szCs w:val="32"/>
    </w:rPr>
  </w:style>
  <w:style w:type="character" w:customStyle="1" w:styleId="12">
    <w:name w:val="标题 2 字符"/>
    <w:basedOn w:val="9"/>
    <w:link w:val="2"/>
    <w:qFormat/>
    <w:uiPriority w:val="0"/>
    <w:rPr>
      <w:rFonts w:ascii="宋体" w:hAnsi="宋体"/>
      <w:b/>
      <w:sz w:val="36"/>
      <w:szCs w:val="36"/>
    </w:rPr>
  </w:style>
  <w:style w:type="paragraph" w:styleId="13">
    <w:name w:val="List Paragraph"/>
    <w:basedOn w:val="1"/>
    <w:qFormat/>
    <w:uiPriority w:val="99"/>
    <w:pPr>
      <w:ind w:firstLine="420" w:firstLineChars="200"/>
    </w:pPr>
  </w:style>
  <w:style w:type="character" w:customStyle="1" w:styleId="14">
    <w:name w:val="页眉 字符"/>
    <w:basedOn w:val="9"/>
    <w:link w:val="6"/>
    <w:qFormat/>
    <w:uiPriority w:val="99"/>
    <w:rPr>
      <w:rFonts w:cstheme="minorBidi"/>
      <w:kern w:val="2"/>
      <w:sz w:val="18"/>
      <w:szCs w:val="18"/>
    </w:rPr>
  </w:style>
  <w:style w:type="character" w:customStyle="1" w:styleId="15">
    <w:name w:val="页脚 字符"/>
    <w:basedOn w:val="9"/>
    <w:link w:val="5"/>
    <w:qFormat/>
    <w:uiPriority w:val="99"/>
    <w:rPr>
      <w:rFonts w:cstheme="minorBidi"/>
      <w:kern w:val="2"/>
      <w:sz w:val="18"/>
      <w:szCs w:val="18"/>
    </w:rPr>
  </w:style>
  <w:style w:type="character" w:customStyle="1" w:styleId="16">
    <w:name w:val="批注框文本 字符"/>
    <w:basedOn w:val="9"/>
    <w:link w:val="4"/>
    <w:semiHidden/>
    <w:qFormat/>
    <w:uiPriority w:val="99"/>
    <w:rPr>
      <w:rFonts w:cstheme="minorBidi"/>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AF694E-A2E7-46D5-99B9-917B08CACBF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182</Words>
  <Characters>1039</Characters>
  <Lines>8</Lines>
  <Paragraphs>2</Paragraphs>
  <TotalTime>6</TotalTime>
  <ScaleCrop>false</ScaleCrop>
  <LinksUpToDate>false</LinksUpToDate>
  <CharactersWithSpaces>1219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2020-01-09T07:33:00Z</dcterms:created>
  <dc:creator>dreamsummit</dc:creator>
  <cp:lastModifiedBy>Administrator</cp:lastModifiedBy>
  <cp:lastPrinted>2022-01-29T07:26:00Z</cp:lastPrinted>
  <dcterms:modified xsi:type="dcterms:W3CDTF">2022-01-29T08:18:56Z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E149A0FD27744DAAA8E3FB347508411B</vt:lpwstr>
  </property>
</Properties>
</file>