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line="640" w:lineRule="exact"/>
        <w:jc w:val="center"/>
        <w:rPr>
          <w:rStyle w:val="11"/>
          <w:rFonts w:hint="eastAsia" w:ascii="宋体" w:hAnsi="宋体" w:eastAsia="宋体" w:cs="宋体"/>
          <w:b/>
          <w:i w:val="0"/>
          <w:i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11"/>
          <w:rFonts w:hint="eastAsia" w:ascii="宋体" w:hAnsi="宋体" w:eastAsia="宋体" w:cs="宋体"/>
          <w:b/>
          <w:i w:val="0"/>
          <w:i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铁西退役军人事务</w:t>
      </w:r>
      <w:r>
        <w:rPr>
          <w:rStyle w:val="11"/>
          <w:rFonts w:hint="eastAsia" w:ascii="宋体" w:hAnsi="宋体" w:eastAsia="宋体" w:cs="宋体"/>
          <w:b/>
          <w:i w:val="0"/>
          <w:i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局2021年政府信息公开</w:t>
      </w:r>
    </w:p>
    <w:p>
      <w:pPr>
        <w:pStyle w:val="8"/>
        <w:shd w:val="clear" w:color="auto" w:fill="FFFFFF"/>
        <w:spacing w:line="640" w:lineRule="exact"/>
        <w:jc w:val="center"/>
        <w:rPr>
          <w:rStyle w:val="11"/>
          <w:rFonts w:hint="eastAsia" w:ascii="宋体" w:hAnsi="宋体" w:eastAsia="宋体" w:cs="宋体"/>
          <w:b/>
          <w:i w:val="0"/>
          <w:i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11"/>
          <w:rFonts w:hint="eastAsia" w:ascii="宋体" w:hAnsi="宋体" w:eastAsia="宋体" w:cs="宋体"/>
          <w:b/>
          <w:i w:val="0"/>
          <w:i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工作年度报告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政府信息公开条例》（国务院令第711号）规定和国务院办公厅政府信息与政务公开办公室关于印发《中华人民共和国政府信息公开工作年度报告格式》的通知（国办公开办函〔2021〕30号）要求，现将沈阳市铁西区退役军人事务局2021年政府信息公开工作情况报告如下：</w:t>
      </w:r>
    </w:p>
    <w:p>
      <w:pPr>
        <w:widowControl/>
        <w:spacing w:line="432" w:lineRule="auto"/>
        <w:ind w:firstLine="643" w:firstLineChars="200"/>
        <w:rPr>
          <w:rFonts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一、总体情况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铁西退役军人事务局在区委、区政府的正确领导下，紧紧围绕退役军人领域重点工作，认真贯彻《中华人民共和国政府信息公开条例》，深入推进重点领域信息公开，加大信息主动公开力度，依法依规做好依申请公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（一）主动公开</w:t>
      </w:r>
    </w:p>
    <w:p>
      <w:pPr>
        <w:widowControl/>
        <w:spacing w:line="432" w:lineRule="auto"/>
        <w:ind w:firstLine="320" w:firstLineChars="100"/>
        <w:rPr>
          <w:rFonts w:ascii="仿宋" w:hAnsi="仿宋" w:eastAsia="仿宋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铁西区退役军人事务局主动公开政府信息3条，其中：预算决算2，政府信息公开年度报告1条。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eastAsia="zh-CN"/>
        </w:rPr>
        <w:t>（二）依申请公开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2021年，我局未接到依申请公开。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eastAsia="zh-CN"/>
        </w:rPr>
        <w:t>政府信息管理</w:t>
      </w:r>
    </w:p>
    <w:p>
      <w:pPr>
        <w:spacing w:line="640" w:lineRule="exact"/>
        <w:ind w:firstLine="420" w:firstLineChars="200"/>
        <w:rPr>
          <w:rFonts w:hint="default" w:eastAsia="华文仿宋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我局涉密信息较多，在日常工作中定期开展保密教育培训，严守保密制度，切实做到涉密信息不公开、公开信息不泄密，任何信息未经审核一律不得发布。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eastAsia="zh-CN"/>
        </w:rPr>
        <w:t>（四）政府信息公开平台建设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eastAsia="zh-CN"/>
        </w:rPr>
        <w:t>（五）监督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保障</w:t>
      </w:r>
    </w:p>
    <w:p>
      <w:pPr>
        <w:spacing w:line="64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局班子高度重视政府信息公开工作，组织局办各科室、退役军人服务中心、各街道（镇）服务站定期开展业务培训，熟悉业务流程，切实做到应公开、尽公开。力求保证信息发布的准确性、权威性、时效性。</w:t>
      </w:r>
    </w:p>
    <w:p>
      <w:pPr>
        <w:widowControl/>
        <w:spacing w:line="432" w:lineRule="auto"/>
        <w:ind w:firstLine="643" w:firstLineChars="200"/>
        <w:rPr>
          <w:rFonts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9"/>
        <w:tblpPr w:leftFromText="180" w:rightFromText="180" w:vertAnchor="text" w:horzAnchor="page" w:tblpX="1755" w:tblpY="1252"/>
        <w:tblOverlap w:val="never"/>
        <w:tblW w:w="8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4"/>
        <w:gridCol w:w="2018"/>
        <w:gridCol w:w="1962"/>
        <w:gridCol w:w="20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本年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制发件量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本年废止件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数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规章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规范性文件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行政许可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2965"/>
                <w:tab w:val="left" w:pos="4092"/>
              </w:tabs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行政处罚</w:t>
            </w:r>
          </w:p>
        </w:tc>
        <w:tc>
          <w:tcPr>
            <w:tcW w:w="6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行政强制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行政事业性收费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>
      <w:pPr>
        <w:widowControl/>
        <w:spacing w:line="432" w:lineRule="auto"/>
        <w:ind w:firstLine="643" w:firstLineChars="200"/>
        <w:rPr>
          <w:rFonts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9"/>
        <w:tblpPr w:leftFromText="180" w:rightFromText="180" w:vertAnchor="text" w:horzAnchor="page" w:tblpX="1590" w:tblpY="778"/>
        <w:tblOverlap w:val="never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0"/>
        <w:gridCol w:w="819"/>
        <w:gridCol w:w="2069"/>
        <w:gridCol w:w="800"/>
        <w:gridCol w:w="741"/>
        <w:gridCol w:w="741"/>
        <w:gridCol w:w="800"/>
        <w:gridCol w:w="959"/>
        <w:gridCol w:w="702"/>
        <w:gridCol w:w="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54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3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自然人</w:t>
            </w: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法人或其他组织</w:t>
            </w:r>
          </w:p>
        </w:tc>
        <w:tc>
          <w:tcPr>
            <w:tcW w:w="68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33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商业企业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科研机构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社会公益组织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法律服务机构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其他</w:t>
            </w: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三、本年度办理结果</w:t>
            </w:r>
          </w:p>
        </w:tc>
        <w:tc>
          <w:tcPr>
            <w:tcW w:w="2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（一）予以公开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（三）不予公开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1.属于国家秘密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2.其他法律行政法规禁止公开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3.危及“三安全一稳定”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4.保护第三方合法权益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5.属于三类内部事务信息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6.属于四类过程性信息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7.属于行政执法案卷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8.属于行政查询事项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（四）无法提供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1.本机关不掌握相关政府信息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2.没有现成信息需要另行制作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3.补正后申请内容仍不明确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（五）不予处理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1.信访举报投诉类申请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2.重复申请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3.要求提供公开出版物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4.无正当理由大量反复申请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5.要求行政机关确认或重新出具已获取信息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（六）其他处理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1.申请人无正当理由逾期不补正、行政机关不再处理其政府信息公开申请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2.申请人逾期未按收费通知要求缴纳费用、行政机关不再处理其政府信息公开申请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3.其他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（七）总计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3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四、结转下年度继续办理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</w:tbl>
    <w:p>
      <w:pPr>
        <w:widowControl/>
        <w:spacing w:line="432" w:lineRule="auto"/>
        <w:ind w:firstLine="643" w:firstLineChars="200"/>
        <w:rPr>
          <w:rFonts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9"/>
        <w:tblpPr w:leftFromText="180" w:rightFromText="180" w:vertAnchor="text" w:horzAnchor="page" w:tblpX="1650" w:tblpY="417"/>
        <w:tblOverlap w:val="never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583"/>
        <w:gridCol w:w="583"/>
        <w:gridCol w:w="583"/>
        <w:gridCol w:w="642"/>
        <w:gridCol w:w="531"/>
        <w:gridCol w:w="584"/>
        <w:gridCol w:w="584"/>
        <w:gridCol w:w="584"/>
        <w:gridCol w:w="591"/>
        <w:gridCol w:w="584"/>
        <w:gridCol w:w="584"/>
        <w:gridCol w:w="584"/>
        <w:gridCol w:w="585"/>
        <w:gridCol w:w="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行政复议</w:t>
            </w:r>
          </w:p>
        </w:tc>
        <w:tc>
          <w:tcPr>
            <w:tcW w:w="58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结果维持</w:t>
            </w:r>
          </w:p>
        </w:tc>
        <w:tc>
          <w:tcPr>
            <w:tcW w:w="58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结果纠正</w:t>
            </w:r>
          </w:p>
        </w:tc>
        <w:tc>
          <w:tcPr>
            <w:tcW w:w="5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其他结果</w:t>
            </w:r>
          </w:p>
        </w:tc>
        <w:tc>
          <w:tcPr>
            <w:tcW w:w="5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总计</w:t>
            </w:r>
          </w:p>
        </w:tc>
        <w:tc>
          <w:tcPr>
            <w:tcW w:w="2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未经复议直接起诉</w:t>
            </w:r>
          </w:p>
        </w:tc>
        <w:tc>
          <w:tcPr>
            <w:tcW w:w="29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5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结果维持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结果纠正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其他结果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尚未审结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结果维持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结果纠正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尚未审结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</w:tr>
    </w:tbl>
    <w:p>
      <w:pPr>
        <w:widowControl/>
        <w:spacing w:line="432" w:lineRule="auto"/>
        <w:ind w:firstLine="643" w:firstLineChars="200"/>
        <w:rPr>
          <w:rFonts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widowControl/>
        <w:spacing w:line="432" w:lineRule="auto"/>
        <w:ind w:firstLine="640" w:firstLineChars="200"/>
        <w:rPr>
          <w:rFonts w:ascii="仿宋" w:hAnsi="仿宋" w:eastAsia="仿宋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黑体"/>
          <w:b w:val="0"/>
          <w:bCs w:val="0"/>
          <w:color w:val="333333"/>
          <w:kern w:val="0"/>
          <w:sz w:val="32"/>
          <w:szCs w:val="32"/>
        </w:rPr>
        <w:t>我局在政府信息公开工作中存在着</w:t>
      </w:r>
      <w:r>
        <w:rPr>
          <w:rFonts w:hint="eastAsia" w:ascii="仿宋" w:hAnsi="仿宋" w:eastAsia="仿宋" w:cs="黑体"/>
          <w:b w:val="0"/>
          <w:bCs w:val="0"/>
          <w:color w:val="333333"/>
          <w:kern w:val="0"/>
          <w:sz w:val="32"/>
          <w:szCs w:val="32"/>
          <w:lang w:eastAsia="zh-CN"/>
        </w:rPr>
        <w:t>机关工作人员对政府信息公开工作重要性认识不够，</w:t>
      </w:r>
      <w:r>
        <w:rPr>
          <w:rFonts w:hint="eastAsia" w:ascii="仿宋" w:hAnsi="仿宋" w:eastAsia="仿宋" w:cs="黑体"/>
          <w:b w:val="0"/>
          <w:bCs w:val="0"/>
          <w:color w:val="333333"/>
          <w:kern w:val="0"/>
          <w:sz w:val="32"/>
          <w:szCs w:val="32"/>
        </w:rPr>
        <w:t>信息公开</w:t>
      </w:r>
      <w:r>
        <w:rPr>
          <w:rFonts w:hint="eastAsia" w:ascii="仿宋" w:hAnsi="仿宋" w:eastAsia="仿宋" w:cs="黑体"/>
          <w:b w:val="0"/>
          <w:bCs w:val="0"/>
          <w:color w:val="333333"/>
          <w:kern w:val="0"/>
          <w:sz w:val="32"/>
          <w:szCs w:val="32"/>
          <w:lang w:eastAsia="zh-CN"/>
        </w:rPr>
        <w:t>形式单一的</w:t>
      </w:r>
      <w:r>
        <w:rPr>
          <w:rFonts w:hint="eastAsia" w:ascii="仿宋" w:hAnsi="仿宋" w:eastAsia="仿宋" w:cs="黑体"/>
          <w:b w:val="0"/>
          <w:bCs w:val="0"/>
          <w:color w:val="333333"/>
          <w:kern w:val="0"/>
          <w:sz w:val="32"/>
          <w:szCs w:val="32"/>
        </w:rPr>
        <w:t>问题。</w:t>
      </w:r>
      <w:r>
        <w:rPr>
          <w:rFonts w:hint="eastAsia" w:ascii="仿宋" w:hAnsi="仿宋" w:eastAsia="仿宋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 w:cs="黑体"/>
          <w:b w:val="0"/>
          <w:bCs w:val="0"/>
          <w:color w:val="333333"/>
          <w:kern w:val="0"/>
          <w:sz w:val="32"/>
          <w:szCs w:val="32"/>
        </w:rPr>
        <w:t>，</w:t>
      </w:r>
      <w:r>
        <w:rPr>
          <w:rFonts w:hint="eastAsia" w:ascii="仿宋" w:hAnsi="仿宋" w:eastAsia="仿宋" w:cs="黑体"/>
          <w:b w:val="0"/>
          <w:bCs w:val="0"/>
          <w:color w:val="333333"/>
          <w:kern w:val="0"/>
          <w:sz w:val="32"/>
          <w:szCs w:val="32"/>
          <w:lang w:eastAsia="zh-CN"/>
        </w:rPr>
        <w:t>我局将进一步完善政府信息公开内容体系，加强业务培训，</w:t>
      </w:r>
      <w:r>
        <w:rPr>
          <w:rFonts w:hint="eastAsia" w:ascii="仿宋" w:hAnsi="仿宋" w:eastAsia="仿宋" w:cs="黑体"/>
          <w:b w:val="0"/>
          <w:bCs w:val="0"/>
          <w:color w:val="333333"/>
          <w:kern w:val="0"/>
          <w:sz w:val="32"/>
          <w:szCs w:val="32"/>
        </w:rPr>
        <w:t>提高</w:t>
      </w:r>
      <w:r>
        <w:rPr>
          <w:rFonts w:hint="eastAsia" w:ascii="仿宋" w:hAnsi="仿宋" w:eastAsia="仿宋" w:cs="黑体"/>
          <w:b w:val="0"/>
          <w:bCs w:val="0"/>
          <w:color w:val="333333"/>
          <w:kern w:val="0"/>
          <w:sz w:val="32"/>
          <w:szCs w:val="32"/>
          <w:lang w:eastAsia="zh-CN"/>
        </w:rPr>
        <w:t>机关人员</w:t>
      </w:r>
      <w:r>
        <w:rPr>
          <w:rFonts w:hint="eastAsia" w:ascii="仿宋" w:hAnsi="仿宋" w:eastAsia="仿宋" w:cs="黑体"/>
          <w:b w:val="0"/>
          <w:bCs w:val="0"/>
          <w:color w:val="333333"/>
          <w:kern w:val="0"/>
          <w:sz w:val="32"/>
          <w:szCs w:val="32"/>
        </w:rPr>
        <w:t>对政务公开工作的认识，确保公开的信息及时、准确。</w:t>
      </w:r>
    </w:p>
    <w:p>
      <w:pPr>
        <w:widowControl/>
        <w:spacing w:line="432" w:lineRule="auto"/>
        <w:ind w:firstLine="643" w:firstLineChars="200"/>
        <w:rPr>
          <w:rFonts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六、其他需要报告的事项</w:t>
      </w:r>
    </w:p>
    <w:p>
      <w:pPr>
        <w:spacing w:line="640" w:lineRule="exact"/>
        <w:ind w:firstLine="640" w:firstLineChars="200"/>
        <w:rPr>
          <w:rStyle w:val="11"/>
          <w:rFonts w:hint="eastAsia" w:ascii="仿宋" w:hAnsi="仿宋" w:eastAsia="仿宋" w:cs="黑体"/>
          <w:b w:val="0"/>
          <w:bCs w:val="0"/>
          <w:i w:val="0"/>
          <w:iCs w:val="0"/>
          <w:color w:val="333333"/>
          <w:sz w:val="32"/>
          <w:szCs w:val="32"/>
        </w:rPr>
      </w:pPr>
      <w:r>
        <w:rPr>
          <w:rStyle w:val="11"/>
          <w:rFonts w:hint="eastAsia" w:ascii="仿宋" w:hAnsi="仿宋" w:eastAsia="仿宋" w:cs="黑体"/>
          <w:b w:val="0"/>
          <w:bCs w:val="0"/>
          <w:i w:val="0"/>
          <w:iCs w:val="0"/>
          <w:color w:val="333333"/>
          <w:sz w:val="32"/>
          <w:szCs w:val="32"/>
        </w:rPr>
        <w:t>无。</w:t>
      </w:r>
    </w:p>
    <w:p>
      <w:pPr>
        <w:pStyle w:val="2"/>
        <w:rPr>
          <w:rStyle w:val="11"/>
          <w:rFonts w:hint="eastAsia" w:ascii="仿宋" w:hAnsi="仿宋" w:eastAsia="仿宋" w:cs="黑体"/>
          <w:b/>
          <w:bCs/>
          <w:i w:val="0"/>
          <w:iCs w:val="0"/>
          <w:color w:val="333333"/>
          <w:sz w:val="32"/>
          <w:szCs w:val="32"/>
        </w:rPr>
      </w:pPr>
    </w:p>
    <w:p>
      <w:pPr>
        <w:rPr>
          <w:rStyle w:val="11"/>
          <w:rFonts w:hint="eastAsia" w:ascii="仿宋" w:hAnsi="仿宋" w:eastAsia="仿宋" w:cs="黑体"/>
          <w:b/>
          <w:bCs/>
          <w:i w:val="0"/>
          <w:iCs w:val="0"/>
          <w:color w:val="333333"/>
          <w:sz w:val="32"/>
          <w:szCs w:val="32"/>
        </w:rPr>
      </w:pPr>
    </w:p>
    <w:p>
      <w:pPr>
        <w:rPr>
          <w:rStyle w:val="11"/>
          <w:rFonts w:hint="eastAsia" w:ascii="仿宋" w:hAnsi="仿宋" w:eastAsia="仿宋" w:cs="黑体"/>
          <w:b w:val="0"/>
          <w:bCs w:val="0"/>
          <w:i w:val="0"/>
          <w:iCs w:val="0"/>
          <w:color w:val="333333"/>
          <w:sz w:val="32"/>
          <w:szCs w:val="32"/>
        </w:rPr>
      </w:pPr>
    </w:p>
    <w:p>
      <w:pPr>
        <w:pStyle w:val="2"/>
        <w:rPr>
          <w:rStyle w:val="11"/>
          <w:rFonts w:hint="eastAsia" w:ascii="仿宋" w:hAnsi="仿宋" w:eastAsia="仿宋" w:cs="黑体"/>
          <w:b w:val="0"/>
          <w:bCs w:val="0"/>
          <w:i w:val="0"/>
          <w:iCs w:val="0"/>
          <w:color w:val="333333"/>
          <w:sz w:val="32"/>
          <w:szCs w:val="32"/>
          <w:lang w:val="en-US" w:eastAsia="zh-CN"/>
        </w:rPr>
      </w:pPr>
      <w:r>
        <w:rPr>
          <w:rStyle w:val="11"/>
          <w:rFonts w:hint="eastAsia" w:ascii="仿宋" w:hAnsi="仿宋" w:eastAsia="仿宋" w:cs="黑体"/>
          <w:b w:val="0"/>
          <w:bCs w:val="0"/>
          <w:i w:val="0"/>
          <w:iCs w:val="0"/>
          <w:color w:val="333333"/>
          <w:sz w:val="32"/>
          <w:szCs w:val="32"/>
          <w:lang w:val="en-US" w:eastAsia="zh-CN"/>
        </w:rPr>
        <w:t xml:space="preserve">                                 铁西区退役军人事务局</w:t>
      </w:r>
    </w:p>
    <w:p>
      <w:pPr>
        <w:rPr>
          <w:rFonts w:hint="default"/>
          <w:b w:val="0"/>
          <w:bCs w:val="0"/>
          <w:lang w:val="en-US" w:eastAsia="zh-CN"/>
        </w:rPr>
      </w:pPr>
      <w:r>
        <w:rPr>
          <w:rStyle w:val="11"/>
          <w:rFonts w:hint="eastAsia" w:ascii="仿宋" w:hAnsi="仿宋" w:eastAsia="仿宋" w:cs="黑体"/>
          <w:b w:val="0"/>
          <w:bCs w:val="0"/>
          <w:i w:val="0"/>
          <w:iCs w:val="0"/>
          <w:color w:val="333333"/>
          <w:sz w:val="32"/>
          <w:szCs w:val="32"/>
          <w:lang w:val="en-US" w:eastAsia="zh-CN"/>
        </w:rPr>
        <w:t xml:space="preserve">                                    2021年1月12日</w:t>
      </w: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701" w:right="1417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31894"/>
    </w:sdtPr>
    <w:sdtContent>
      <w:p>
        <w:pPr>
          <w:pStyle w:val="6"/>
          <w:jc w:val="right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2 -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AB"/>
    <w:rsid w:val="00010114"/>
    <w:rsid w:val="00077B17"/>
    <w:rsid w:val="00091A4B"/>
    <w:rsid w:val="000C5945"/>
    <w:rsid w:val="0011519C"/>
    <w:rsid w:val="00154D31"/>
    <w:rsid w:val="0018758F"/>
    <w:rsid w:val="00196E24"/>
    <w:rsid w:val="002346AA"/>
    <w:rsid w:val="00236465"/>
    <w:rsid w:val="002A2C43"/>
    <w:rsid w:val="002C2629"/>
    <w:rsid w:val="002E60D8"/>
    <w:rsid w:val="00363500"/>
    <w:rsid w:val="003703C9"/>
    <w:rsid w:val="0038094B"/>
    <w:rsid w:val="003D13B3"/>
    <w:rsid w:val="004127E8"/>
    <w:rsid w:val="00452DBB"/>
    <w:rsid w:val="004E7E06"/>
    <w:rsid w:val="005074C7"/>
    <w:rsid w:val="005318E1"/>
    <w:rsid w:val="00566FEA"/>
    <w:rsid w:val="00614C5C"/>
    <w:rsid w:val="00665AE2"/>
    <w:rsid w:val="00674005"/>
    <w:rsid w:val="006F3E39"/>
    <w:rsid w:val="0073762B"/>
    <w:rsid w:val="00765852"/>
    <w:rsid w:val="007A4968"/>
    <w:rsid w:val="007B585A"/>
    <w:rsid w:val="008C75D7"/>
    <w:rsid w:val="008D6FDC"/>
    <w:rsid w:val="0090038A"/>
    <w:rsid w:val="00904D82"/>
    <w:rsid w:val="00920540"/>
    <w:rsid w:val="0094652D"/>
    <w:rsid w:val="009A4F32"/>
    <w:rsid w:val="00A13922"/>
    <w:rsid w:val="00A244A3"/>
    <w:rsid w:val="00A619AB"/>
    <w:rsid w:val="00A72FD9"/>
    <w:rsid w:val="00A74841"/>
    <w:rsid w:val="00B7658F"/>
    <w:rsid w:val="00B9554D"/>
    <w:rsid w:val="00BA3A89"/>
    <w:rsid w:val="00BB7077"/>
    <w:rsid w:val="00C07237"/>
    <w:rsid w:val="00C2282B"/>
    <w:rsid w:val="00CA1DCC"/>
    <w:rsid w:val="00D143AE"/>
    <w:rsid w:val="00D41B11"/>
    <w:rsid w:val="00D63423"/>
    <w:rsid w:val="00DA40FD"/>
    <w:rsid w:val="00DC15D7"/>
    <w:rsid w:val="00DC6208"/>
    <w:rsid w:val="00DF5B99"/>
    <w:rsid w:val="00EB0DEF"/>
    <w:rsid w:val="00EF7248"/>
    <w:rsid w:val="00F41156"/>
    <w:rsid w:val="00F57D8A"/>
    <w:rsid w:val="04CE1DA0"/>
    <w:rsid w:val="05C1368A"/>
    <w:rsid w:val="06A66D03"/>
    <w:rsid w:val="07BE007D"/>
    <w:rsid w:val="08F31FA8"/>
    <w:rsid w:val="09783F4A"/>
    <w:rsid w:val="0D1E35E0"/>
    <w:rsid w:val="0F187EF4"/>
    <w:rsid w:val="0FF81428"/>
    <w:rsid w:val="1D7E5E8C"/>
    <w:rsid w:val="285B4637"/>
    <w:rsid w:val="298649E0"/>
    <w:rsid w:val="29D2181B"/>
    <w:rsid w:val="2A1F33BB"/>
    <w:rsid w:val="2F685EAB"/>
    <w:rsid w:val="30BA4FD6"/>
    <w:rsid w:val="31EA2B99"/>
    <w:rsid w:val="38E2406F"/>
    <w:rsid w:val="3CBF4365"/>
    <w:rsid w:val="3F0E694A"/>
    <w:rsid w:val="436116D1"/>
    <w:rsid w:val="47F35197"/>
    <w:rsid w:val="483E06A7"/>
    <w:rsid w:val="49D7279F"/>
    <w:rsid w:val="4B9C37FE"/>
    <w:rsid w:val="51CF14F1"/>
    <w:rsid w:val="571E77BD"/>
    <w:rsid w:val="58173662"/>
    <w:rsid w:val="5C3038F5"/>
    <w:rsid w:val="5D423AA9"/>
    <w:rsid w:val="619B0653"/>
    <w:rsid w:val="68893325"/>
    <w:rsid w:val="6EA2087C"/>
    <w:rsid w:val="720C287E"/>
    <w:rsid w:val="74354C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3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link w:val="12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华文仿宋" w:cs="Times New Roman"/>
      <w:sz w:val="30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6"/>
      <w:szCs w:val="16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Emphasis"/>
    <w:basedOn w:val="10"/>
    <w:qFormat/>
    <w:uiPriority w:val="20"/>
    <w:rPr>
      <w:i/>
      <w:iCs/>
    </w:rPr>
  </w:style>
  <w:style w:type="character" w:customStyle="1" w:styleId="12">
    <w:name w:val="标题 3 Char"/>
    <w:basedOn w:val="10"/>
    <w:link w:val="4"/>
    <w:semiHidden/>
    <w:qFormat/>
    <w:uiPriority w:val="0"/>
    <w:rPr>
      <w:b/>
      <w:bCs/>
      <w:kern w:val="2"/>
      <w:sz w:val="32"/>
      <w:szCs w:val="32"/>
    </w:rPr>
  </w:style>
  <w:style w:type="character" w:customStyle="1" w:styleId="13">
    <w:name w:val="标题 2 Char"/>
    <w:basedOn w:val="10"/>
    <w:link w:val="3"/>
    <w:qFormat/>
    <w:uiPriority w:val="0"/>
    <w:rPr>
      <w:rFonts w:ascii="宋体" w:hAnsi="宋体"/>
      <w:b/>
      <w:sz w:val="36"/>
      <w:szCs w:val="36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页眉 Char"/>
    <w:basedOn w:val="10"/>
    <w:link w:val="7"/>
    <w:qFormat/>
    <w:uiPriority w:val="99"/>
    <w:rPr>
      <w:rFonts w:cstheme="minorBidi"/>
      <w:kern w:val="2"/>
      <w:sz w:val="18"/>
      <w:szCs w:val="18"/>
    </w:rPr>
  </w:style>
  <w:style w:type="character" w:customStyle="1" w:styleId="16">
    <w:name w:val="页脚 Char"/>
    <w:basedOn w:val="10"/>
    <w:link w:val="6"/>
    <w:qFormat/>
    <w:uiPriority w:val="99"/>
    <w:rPr>
      <w:rFonts w:cstheme="minorBidi"/>
      <w:kern w:val="2"/>
      <w:sz w:val="18"/>
      <w:szCs w:val="18"/>
    </w:rPr>
  </w:style>
  <w:style w:type="character" w:customStyle="1" w:styleId="17">
    <w:name w:val="批注框文本 Char"/>
    <w:basedOn w:val="10"/>
    <w:link w:val="5"/>
    <w:semiHidden/>
    <w:qFormat/>
    <w:uiPriority w:val="99"/>
    <w:rPr>
      <w:rFonts w:cstheme="minorBidi"/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BF76AB-8014-4593-9CE3-864643BC39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240</Words>
  <Characters>1374</Characters>
  <Lines>11</Lines>
  <Paragraphs>3</Paragraphs>
  <TotalTime>59</TotalTime>
  <ScaleCrop>false</ScaleCrop>
  <LinksUpToDate>false</LinksUpToDate>
  <CharactersWithSpaces>1611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2022-01-17T02:54:00Z</dcterms:created>
  <dc:creator>dreamsummit</dc:creator>
  <cp:lastModifiedBy>Administrator</cp:lastModifiedBy>
  <cp:lastPrinted>2022-01-29T07:47:00Z</cp:lastPrinted>
  <dcterms:modified xsi:type="dcterms:W3CDTF">2022-01-29T08:29:49Z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A54D5FA4FD56461AA787206E5834B896</vt:lpwstr>
  </property>
</Properties>
</file>