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年沈阳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经开区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本级涉企</w:t>
      </w:r>
      <w:r>
        <w:rPr>
          <w:rFonts w:ascii="宋体" w:hAnsi="宋体" w:cs="宋体"/>
          <w:b/>
          <w:bCs/>
          <w:sz w:val="44"/>
          <w:szCs w:val="44"/>
        </w:rPr>
        <w:t>政府性基金目录清单</w:t>
      </w:r>
    </w:p>
    <w:p>
      <w:pPr>
        <w:spacing w:line="560" w:lineRule="exact"/>
        <w:jc w:val="both"/>
        <w:rPr>
          <w:rFonts w:hint="eastAsia" w:ascii="宋体" w:hAnsi="宋体" w:eastAsia="宋体" w:cs="宋体"/>
          <w:b/>
          <w:bCs/>
          <w:sz w:val="21"/>
          <w:szCs w:val="21"/>
        </w:rPr>
      </w:pPr>
    </w:p>
    <w:tbl>
      <w:tblPr>
        <w:tblStyle w:val="2"/>
        <w:tblW w:w="13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086"/>
        <w:gridCol w:w="1080"/>
        <w:gridCol w:w="3885"/>
        <w:gridCol w:w="3675"/>
        <w:gridCol w:w="1125"/>
        <w:gridCol w:w="112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3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收费标准</w:t>
            </w:r>
          </w:p>
        </w:tc>
        <w:tc>
          <w:tcPr>
            <w:tcW w:w="36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政策依据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立项级次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7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0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自然资源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城市基础设施配套费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住宅：按实际建筑面积134元/平方米;公建：按实际建筑面积99元/平方米；工业：按实际建筑面积60元/平方米。</w:t>
            </w:r>
          </w:p>
        </w:tc>
        <w:tc>
          <w:tcPr>
            <w:tcW w:w="3675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财综函〔2002〕3号，辽财综函〔2003〕133号，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val="en-US" w:eastAsia="zh-CN"/>
              </w:rPr>
              <w:t>财税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〔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〕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val="en-US" w:eastAsia="zh-CN"/>
              </w:rPr>
              <w:t>53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号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辽财非〔2010〕950号，沈建委发〔1999〕93号。</w:t>
            </w:r>
          </w:p>
        </w:tc>
        <w:tc>
          <w:tcPr>
            <w:tcW w:w="11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中央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2297316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缴入国库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7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0"/>
                <w:sz w:val="21"/>
                <w:szCs w:val="21"/>
                <w:lang w:eastAsia="zh-CN"/>
              </w:rPr>
              <w:t>二</w:t>
            </w:r>
          </w:p>
        </w:tc>
        <w:tc>
          <w:tcPr>
            <w:tcW w:w="10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sz w:val="21"/>
                <w:szCs w:val="21"/>
              </w:rPr>
              <w:t>税务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sz w:val="21"/>
                <w:szCs w:val="21"/>
              </w:rPr>
              <w:t>残疾人就业保障金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hint="default" w:ascii="FangSong_GB2312" w:hAnsi="FangSong_GB2312" w:eastAsia="FangSong_GB2312" w:cs="FangSong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sz w:val="21"/>
                <w:szCs w:val="21"/>
                <w:lang w:val="en-US" w:eastAsia="zh-CN"/>
              </w:rPr>
              <w:t>保障年金缴纳额=（上年用人单位在职职工人数*规定安排残疾人就业比例-上年用人单位实际安排的残疾人就业人数）*上年用人单位在职职工年平均工资。</w:t>
            </w:r>
          </w:p>
        </w:tc>
        <w:tc>
          <w:tcPr>
            <w:tcW w:w="3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hint="default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《残疾人保障法》，财综〔2001〕16号，财税〔2017〕18号，财税〔2018〕39号，省政府令第75号，辽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val="en-US" w:eastAsia="zh-CN"/>
              </w:rPr>
              <w:t>财综字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〔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val="en-US" w:eastAsia="zh-CN"/>
              </w:rPr>
              <w:t>1997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〕3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9号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val="en-US" w:eastAsia="zh-CN"/>
              </w:rPr>
              <w:t>辽财非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〔20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〕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val="en-US" w:eastAsia="zh-CN"/>
              </w:rPr>
              <w:t>415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号，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val="en-US" w:eastAsia="zh-CN"/>
              </w:rPr>
              <w:t>辽发改收费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〔20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〕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val="en-US" w:eastAsia="zh-CN"/>
              </w:rPr>
              <w:t>358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号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val="en-US" w:eastAsia="zh-CN"/>
              </w:rPr>
              <w:t>财政部公告2019年第98号。</w:t>
            </w:r>
          </w:p>
        </w:tc>
        <w:tc>
          <w:tcPr>
            <w:tcW w:w="11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中央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12366</w:t>
            </w:r>
          </w:p>
        </w:tc>
        <w:tc>
          <w:tcPr>
            <w:tcW w:w="12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缴入国库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N2U2ZjczOTE5MmE3ZTYyMjdhYzZmNWM2MzJmMzMifQ=="/>
  </w:docVars>
  <w:rsids>
    <w:rsidRoot w:val="62195E39"/>
    <w:rsid w:val="621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2023-04-28T07:37:00Z</dcterms:created>
  <dc:creator>Administrator</dc:creator>
  <cp:lastModifiedBy>Administrator</cp:lastModifiedBy>
  <dcterms:modified xsi:type="dcterms:W3CDTF">2023-04-28T07:38:42Z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39F9C52207EE4AA69B53823971810EE8_11</vt:lpwstr>
  </property>
</Properties>
</file>