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年沈阳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经开区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本级涉企</w:t>
      </w:r>
      <w:r>
        <w:rPr>
          <w:rFonts w:ascii="宋体" w:hAnsi="宋体" w:cs="宋体"/>
          <w:b/>
          <w:bCs/>
          <w:sz w:val="44"/>
          <w:szCs w:val="44"/>
        </w:rPr>
        <w:t>政府性基金目录清单</w:t>
      </w:r>
    </w:p>
    <w:bookmarkEnd w:id="0"/>
    <w:p>
      <w:pPr>
        <w:spacing w:line="560" w:lineRule="exact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2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086"/>
        <w:gridCol w:w="1080"/>
        <w:gridCol w:w="3885"/>
        <w:gridCol w:w="3675"/>
        <w:gridCol w:w="1125"/>
        <w:gridCol w:w="11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3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3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立项级次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</w:rPr>
              <w:t>自然资源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城市基础设施配套费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住宅：按实际建筑面积134元/平方米;公建：按实际建筑面积99元/平方米；工业：按实际建筑面积60元/平方米。</w:t>
            </w:r>
          </w:p>
        </w:tc>
        <w:tc>
          <w:tcPr>
            <w:tcW w:w="3675" w:type="dxa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财综函〔2002〕3号，辽财综函〔2003〕133号，辽财非〔2010〕950号，沈建委发〔1999〕93号。按财综〔2010〕54号，对中小学校“校舍安全工程”免征。按发改投资〔2014〕2091号，对医疗、养老、体育健身设施建设免征。按公告〔2019〕76号，对用于提供社区养老、托育、家政服务的建设项目免征。按财税〔2019〕53号，对易地扶贫搬迁项目免征。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中央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22973161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缴入国库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0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sz w:val="21"/>
                <w:szCs w:val="21"/>
              </w:rPr>
              <w:t>税务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残疾人就业保障金</w:t>
            </w:r>
          </w:p>
        </w:tc>
        <w:tc>
          <w:tcPr>
            <w:tcW w:w="38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1"/>
                <w:szCs w:val="21"/>
                <w:lang w:bidi="ar"/>
              </w:rPr>
              <w:t>残疾人就业保障金年缴纳金额=（上年用人单位在职职工人数*规定安排残疾人就业比例-上年用人单位实际安排的残疾人就业人数）*上年用人单位在职职工年平均工资</w:t>
            </w:r>
          </w:p>
        </w:tc>
        <w:tc>
          <w:tcPr>
            <w:tcW w:w="36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《残疾人保障法》，财综〔2001〕16号，财税〔2017〕18号，财税〔2018〕39号，财政部公告2019年第98号，省政府令第75号，辽财综字〔1997〕359号，辽政发〔2003〕23号，辽政发〔2006〕15号,辽财非〔2016〕415号，辽残联发〔2017〕41号。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中央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FangSong_GB2312" w:hAnsi="FangSong_GB2312" w:eastAsia="FangSong_GB2312" w:cs="FangSong_GB2312"/>
                <w:sz w:val="21"/>
                <w:szCs w:val="21"/>
                <w:lang w:bidi="ar"/>
              </w:rPr>
              <w:t>12366</w:t>
            </w:r>
          </w:p>
        </w:tc>
        <w:tc>
          <w:tcPr>
            <w:tcW w:w="12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缴入国库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2U2ZjczOTE5MmE3ZTYyMjdhYzZmNWM2MzJmMzMifQ=="/>
  </w:docVars>
  <w:rsids>
    <w:rsidRoot w:val="455B4096"/>
    <w:rsid w:val="455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2023-04-28T07:41:00Z</dcterms:created>
  <dc:creator>Administrator</dc:creator>
  <cp:lastModifiedBy>Administrator</cp:lastModifiedBy>
  <dcterms:modified xsi:type="dcterms:W3CDTF">2023-04-28T07:41:51Z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C57CC566C4C54E369F23C546E240B82C_11</vt:lpwstr>
  </property>
</Properties>
</file>